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806A" w14:textId="0B75A4FF" w:rsidR="006F0C8F" w:rsidRDefault="006F0C8F" w:rsidP="006F0C8F">
      <w:pPr>
        <w:jc w:val="center"/>
        <w:rPr>
          <w:b/>
          <w:bCs/>
        </w:rPr>
      </w:pPr>
      <w:bookmarkStart w:id="0" w:name="_Toc153539083"/>
      <w:r w:rsidRPr="007460A0">
        <w:rPr>
          <w:b/>
          <w:bCs/>
        </w:rPr>
        <w:t>Mécanisme de financement collectif pour les OPA</w:t>
      </w:r>
      <w:r>
        <w:rPr>
          <w:b/>
          <w:bCs/>
        </w:rPr>
        <w:t xml:space="preserve"> « AGRI’GROUP</w:t>
      </w:r>
      <w:r w:rsidR="00232433">
        <w:rPr>
          <w:rStyle w:val="Appelnotedebasdep"/>
          <w:b/>
          <w:bCs/>
        </w:rPr>
        <w:footnoteReference w:id="2"/>
      </w:r>
      <w:r>
        <w:rPr>
          <w:b/>
          <w:bCs/>
        </w:rPr>
        <w:t> »</w:t>
      </w:r>
    </w:p>
    <w:p w14:paraId="5A42DC56" w14:textId="569AC51E" w:rsidR="006F0C8F" w:rsidRPr="006F0C8F" w:rsidRDefault="006F0C8F" w:rsidP="006F0C8F">
      <w:pPr>
        <w:jc w:val="center"/>
        <w:rPr>
          <w:b/>
          <w:bCs/>
        </w:rPr>
      </w:pPr>
      <w:r>
        <w:rPr>
          <w:b/>
          <w:bCs/>
        </w:rPr>
        <w:t xml:space="preserve">Enda </w:t>
      </w:r>
      <w:proofErr w:type="spellStart"/>
      <w:r>
        <w:rPr>
          <w:b/>
          <w:bCs/>
        </w:rPr>
        <w:t>Tawmeel</w:t>
      </w:r>
      <w:proofErr w:type="spellEnd"/>
    </w:p>
    <w:p w14:paraId="5B04144C" w14:textId="677DF8ED" w:rsidR="00495238" w:rsidRDefault="00D00638">
      <w:pPr>
        <w:pStyle w:val="Titre1"/>
        <w:rPr>
          <w:b/>
          <w:bCs/>
          <w:color w:val="C00000"/>
          <w:lang w:eastAsia="en-IE"/>
        </w:rPr>
      </w:pPr>
      <w:r w:rsidRPr="00BC25D7">
        <w:rPr>
          <w:b/>
          <w:bCs/>
          <w:color w:val="C00000"/>
          <w:lang w:eastAsia="en-IE"/>
        </w:rPr>
        <w:t xml:space="preserve">Contexte </w:t>
      </w:r>
      <w:r w:rsidR="00F94844">
        <w:rPr>
          <w:b/>
          <w:bCs/>
          <w:color w:val="C00000"/>
          <w:lang w:eastAsia="en-IE"/>
        </w:rPr>
        <w:t>et</w:t>
      </w:r>
      <w:r>
        <w:rPr>
          <w:b/>
          <w:bCs/>
          <w:color w:val="C00000"/>
          <w:lang w:eastAsia="en-IE"/>
        </w:rPr>
        <w:t xml:space="preserve"> objectifs</w:t>
      </w:r>
    </w:p>
    <w:p w14:paraId="468B88DE" w14:textId="7CCD317B" w:rsidR="00495238" w:rsidRDefault="00D00638" w:rsidP="00D00638">
      <w:pPr>
        <w:ind w:right="210"/>
        <w:rPr>
          <w:b/>
          <w:i/>
          <w:iCs/>
          <w:color w:val="C00000"/>
          <w:lang w:eastAsia="en-IE"/>
        </w:rPr>
      </w:pPr>
      <w:r>
        <w:rPr>
          <w:b/>
          <w:i/>
          <w:iCs/>
          <w:color w:val="C00000"/>
          <w:lang w:eastAsia="en-IE"/>
        </w:rPr>
        <w:t>Le défis de l’</w:t>
      </w:r>
      <w:r w:rsidRPr="00BC25D7">
        <w:rPr>
          <w:b/>
          <w:i/>
          <w:iCs/>
          <w:color w:val="C00000"/>
          <w:lang w:eastAsia="en-IE"/>
        </w:rPr>
        <w:t>accès aux financements</w:t>
      </w:r>
      <w:r>
        <w:rPr>
          <w:b/>
          <w:i/>
          <w:iCs/>
          <w:color w:val="C00000"/>
          <w:lang w:eastAsia="en-IE"/>
        </w:rPr>
        <w:t xml:space="preserve"> pour les OPA</w:t>
      </w:r>
    </w:p>
    <w:p w14:paraId="5BE4283A" w14:textId="4BFAE348" w:rsidR="00495238" w:rsidRPr="006F0C8F" w:rsidRDefault="00D00638" w:rsidP="006F0C8F">
      <w:pPr>
        <w:ind w:right="210"/>
      </w:pPr>
      <w:r w:rsidRPr="006F0C8F">
        <w:rPr>
          <w:bCs/>
          <w:color w:val="000000" w:themeColor="text1"/>
          <w:lang w:eastAsia="en-IE"/>
        </w:rPr>
        <w:t xml:space="preserve">La GIZ, par le biais du </w:t>
      </w:r>
      <w:r w:rsidR="00BC25D7" w:rsidRPr="006F0C8F">
        <w:t xml:space="preserve">projet d'économie agricole durable </w:t>
      </w:r>
      <w:r w:rsidRPr="006F0C8F">
        <w:rPr>
          <w:bCs/>
          <w:color w:val="000000" w:themeColor="text1"/>
          <w:lang w:eastAsia="en-IE"/>
        </w:rPr>
        <w:t xml:space="preserve">PEAD et des projets qui l'ont précédé, renforce depuis de nombreuses années les capacités des agriculteurs et des </w:t>
      </w:r>
      <w:r w:rsidR="00FF5A4D">
        <w:rPr>
          <w:bCs/>
          <w:color w:val="000000" w:themeColor="text1"/>
          <w:lang w:eastAsia="en-IE"/>
        </w:rPr>
        <w:t>OPA</w:t>
      </w:r>
      <w:r w:rsidR="00785FEB">
        <w:rPr>
          <w:bCs/>
          <w:color w:val="000000" w:themeColor="text1"/>
          <w:lang w:eastAsia="en-IE"/>
        </w:rPr>
        <w:t xml:space="preserve"> (Organisation Professionnelle Agricole)</w:t>
      </w:r>
      <w:r w:rsidR="00FF5A4D" w:rsidRPr="006F0C8F">
        <w:rPr>
          <w:bCs/>
          <w:color w:val="000000" w:themeColor="text1"/>
          <w:lang w:eastAsia="en-IE"/>
        </w:rPr>
        <w:t xml:space="preserve"> </w:t>
      </w:r>
      <w:r w:rsidRPr="006F0C8F">
        <w:rPr>
          <w:bCs/>
          <w:color w:val="000000" w:themeColor="text1"/>
          <w:lang w:eastAsia="en-IE"/>
        </w:rPr>
        <w:t xml:space="preserve">de transformation dans différentes chaînes de valeur agricoles en Tunisie. </w:t>
      </w:r>
    </w:p>
    <w:p w14:paraId="71DEF79C" w14:textId="1D1BD1C4" w:rsidR="00495238" w:rsidRDefault="00D00638">
      <w:r w:rsidRPr="006F0C8F">
        <w:t>Cependant, l'accès au financement est un facteur contraignant majeur dans l'agriculture en général et pour les SMSA</w:t>
      </w:r>
      <w:r w:rsidR="004E1177">
        <w:rPr>
          <w:rStyle w:val="Appelnotedebasdep"/>
        </w:rPr>
        <w:footnoteReference w:id="3"/>
      </w:r>
      <w:r w:rsidRPr="006F0C8F">
        <w:t>/ GDA</w:t>
      </w:r>
      <w:r w:rsidR="004E1177">
        <w:rPr>
          <w:rStyle w:val="Appelnotedebasdep"/>
        </w:rPr>
        <w:footnoteReference w:id="4"/>
      </w:r>
      <w:r w:rsidRPr="006F0C8F">
        <w:t xml:space="preserve"> en particulier. </w:t>
      </w:r>
      <w:r w:rsidR="00F97493" w:rsidRPr="006F0C8F">
        <w:t>Par exemple, l'étude de marché de la GIZ/AFC portant sur 72 SMSA/GDA en 2022 a révélé un écart considérable entre la demande de prêts de 44 millions de DT par an et l'offre de prêts à ces OPA, qui n'est que d'environ 0,8 million de DT par an.</w:t>
      </w:r>
    </w:p>
    <w:p w14:paraId="63E52A10" w14:textId="4071A5FE" w:rsidR="00342CA1" w:rsidRDefault="00342CA1">
      <w:r>
        <w:t xml:space="preserve">Cette étude a </w:t>
      </w:r>
      <w:r w:rsidR="003E32A7">
        <w:t xml:space="preserve">mis aussi en exergue </w:t>
      </w:r>
      <w:r w:rsidR="00F60E4B">
        <w:t xml:space="preserve">les risques majeurs </w:t>
      </w:r>
      <w:r w:rsidR="00607BA3">
        <w:t xml:space="preserve">entravant le financement des OPA </w:t>
      </w:r>
      <w:r w:rsidR="00F60E4B">
        <w:t>par les institutions financières</w:t>
      </w:r>
      <w:r w:rsidR="00CA1FC9">
        <w:t xml:space="preserve"> (IF)</w:t>
      </w:r>
      <w:r w:rsidR="00F60E4B">
        <w:t xml:space="preserve"> </w:t>
      </w:r>
      <w:r w:rsidR="00FB7914">
        <w:t xml:space="preserve">dont une partie est liée </w:t>
      </w:r>
      <w:r w:rsidR="001B4095">
        <w:t xml:space="preserve">aux OPA tels que le manque de certaines </w:t>
      </w:r>
      <w:proofErr w:type="gramStart"/>
      <w:r w:rsidR="001B4095">
        <w:t>compétences</w:t>
      </w:r>
      <w:proofErr w:type="gramEnd"/>
      <w:r w:rsidR="001B4095">
        <w:t xml:space="preserve"> et d’esprit entrepreneurial ainsi que l’</w:t>
      </w:r>
      <w:r w:rsidR="00CA1FC9">
        <w:t>inexistence d’un historique favorable entre ces clients et les IF</w:t>
      </w:r>
      <w:r w:rsidR="000E04F7">
        <w:t>, et l’autre partie est lié au secteur agricole considér</w:t>
      </w:r>
      <w:r w:rsidR="00F54679">
        <w:t>é</w:t>
      </w:r>
      <w:r w:rsidR="000E04F7">
        <w:t xml:space="preserve"> comme </w:t>
      </w:r>
      <w:r w:rsidR="00F54679">
        <w:t>secteur à risque à cause des aléas et changements climatiques.</w:t>
      </w:r>
    </w:p>
    <w:p w14:paraId="35FFFE3E" w14:textId="6EBF3B59" w:rsidR="00605B87" w:rsidRPr="006F0C8F" w:rsidRDefault="006576C1">
      <w:r w:rsidRPr="00D433CA">
        <w:t>Par ailleurs,</w:t>
      </w:r>
      <w:r w:rsidR="000F6A6E" w:rsidRPr="00D433CA">
        <w:t xml:space="preserve"> </w:t>
      </w:r>
      <w:r w:rsidR="00A52508" w:rsidRPr="00D433CA">
        <w:t xml:space="preserve">la règlementation </w:t>
      </w:r>
      <w:r w:rsidR="002F6A50" w:rsidRPr="00D433CA">
        <w:t>en</w:t>
      </w:r>
      <w:r w:rsidR="002F6A50">
        <w:t xml:space="preserve"> vigueur, notamment celle de la microfinance, </w:t>
      </w:r>
      <w:r w:rsidR="005A55B9">
        <w:t xml:space="preserve">entravait également l’accès des OPA aux produits de la microfinance </w:t>
      </w:r>
      <w:r w:rsidR="002B5962">
        <w:t xml:space="preserve">généralement plus flexibles en termes de conditions. </w:t>
      </w:r>
    </w:p>
    <w:p w14:paraId="11CE1462" w14:textId="3F50C20D" w:rsidR="00495238" w:rsidRPr="00D00638" w:rsidRDefault="003566C3" w:rsidP="00D00638">
      <w:pPr>
        <w:ind w:right="210"/>
        <w:rPr>
          <w:b/>
          <w:i/>
          <w:iCs/>
          <w:color w:val="C00000"/>
          <w:lang w:eastAsia="en-IE"/>
        </w:rPr>
      </w:pPr>
      <w:r w:rsidRPr="00D00638">
        <w:rPr>
          <w:b/>
          <w:i/>
          <w:iCs/>
          <w:color w:val="C00000"/>
          <w:lang w:eastAsia="en-IE"/>
        </w:rPr>
        <w:t>Mobilisation du secteur financier</w:t>
      </w:r>
    </w:p>
    <w:p w14:paraId="15499948" w14:textId="2A185650" w:rsidR="006F0C8F" w:rsidRDefault="00811945">
      <w:pPr>
        <w:rPr>
          <w:lang w:eastAsia="en-IE"/>
        </w:rPr>
      </w:pPr>
      <w:r>
        <w:rPr>
          <w:noProof/>
        </w:rPr>
        <w:drawing>
          <wp:anchor distT="0" distB="0" distL="114300" distR="114300" simplePos="0" relativeHeight="251658241" behindDoc="0" locked="0" layoutInCell="1" allowOverlap="1" wp14:anchorId="385A371D" wp14:editId="39D2AF90">
            <wp:simplePos x="0" y="0"/>
            <wp:positionH relativeFrom="margin">
              <wp:posOffset>2137144</wp:posOffset>
            </wp:positionH>
            <wp:positionV relativeFrom="paragraph">
              <wp:posOffset>592042</wp:posOffset>
            </wp:positionV>
            <wp:extent cx="3944620" cy="2446020"/>
            <wp:effectExtent l="0" t="0" r="0" b="0"/>
            <wp:wrapThrough wrapText="bothSides">
              <wp:wrapPolygon edited="0">
                <wp:start x="0" y="0"/>
                <wp:lineTo x="0" y="21364"/>
                <wp:lineTo x="21489" y="21364"/>
                <wp:lineTo x="21489" y="0"/>
                <wp:lineTo x="0" y="0"/>
              </wp:wrapPolygon>
            </wp:wrapThrough>
            <wp:docPr id="737685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4620" cy="2446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5A4D">
        <w:rPr>
          <w:lang w:eastAsia="en-IE"/>
        </w:rPr>
        <w:t xml:space="preserve">La mobilisation du secteur financier était un choix stratégique par le projet PEAD en vue d’une </w:t>
      </w:r>
      <w:r w:rsidR="00FF5A4D" w:rsidRPr="006F0C8F">
        <w:rPr>
          <w:b/>
          <w:bCs/>
          <w:lang w:eastAsia="en-IE"/>
        </w:rPr>
        <w:t>meilleure diffusion des options de financements disponibles</w:t>
      </w:r>
      <w:r w:rsidR="00FF5A4D">
        <w:rPr>
          <w:lang w:eastAsia="en-IE"/>
        </w:rPr>
        <w:t xml:space="preserve"> et renforcer leur offre financière par le biais d’adaptation et/ou le développement de nouveaux produits mieux adaptés aux spécificités de la petite et moyenne agriculture. </w:t>
      </w:r>
    </w:p>
    <w:p w14:paraId="4920AE4C" w14:textId="7C3845F3" w:rsidR="00574DDA" w:rsidRDefault="00574DDA" w:rsidP="00574DDA">
      <w:pPr>
        <w:rPr>
          <w:lang w:eastAsia="en-IE"/>
        </w:rPr>
      </w:pPr>
      <w:r w:rsidRPr="006F0C8F">
        <w:rPr>
          <w:lang w:eastAsia="en-IE"/>
        </w:rPr>
        <w:t xml:space="preserve">Les banques </w:t>
      </w:r>
      <w:r>
        <w:rPr>
          <w:lang w:eastAsia="en-IE"/>
        </w:rPr>
        <w:t>ont tendance généralement à financer</w:t>
      </w:r>
      <w:r w:rsidRPr="006F0C8F">
        <w:rPr>
          <w:lang w:eastAsia="en-IE"/>
        </w:rPr>
        <w:t xml:space="preserve"> les grandes entreprises qui ont de nombreuses garanties matérielles à offrir </w:t>
      </w:r>
      <w:r>
        <w:rPr>
          <w:lang w:eastAsia="en-IE"/>
        </w:rPr>
        <w:t>alors que les Institutions de Microfinance (IMF), malgré le coût élevé de leurs produits, présentent plus de flexibilité en termes de délais de traitement et de garanties demandées.</w:t>
      </w:r>
    </w:p>
    <w:p w14:paraId="5155D359" w14:textId="5DA8C662" w:rsidR="00574DDA" w:rsidRPr="00811945" w:rsidRDefault="00574DDA" w:rsidP="00811945">
      <w:pPr>
        <w:rPr>
          <w:lang w:eastAsia="en-IE"/>
        </w:rPr>
      </w:pPr>
      <w:r>
        <w:rPr>
          <w:lang w:eastAsia="en-IE"/>
        </w:rPr>
        <w:t xml:space="preserve">Le projet PEAD a réussi à mettre en place un partenariat avec le leader de la microfinance en Tunisie, Enda </w:t>
      </w:r>
      <w:proofErr w:type="spellStart"/>
      <w:r>
        <w:rPr>
          <w:lang w:eastAsia="en-IE"/>
        </w:rPr>
        <w:t>Tamweel</w:t>
      </w:r>
      <w:proofErr w:type="spellEnd"/>
      <w:r>
        <w:rPr>
          <w:lang w:eastAsia="en-IE"/>
        </w:rPr>
        <w:t xml:space="preserve">, pour développer un produit financier dédié aux OPA dans une optique de diversification des options de financement pour ces dernières. </w:t>
      </w:r>
    </w:p>
    <w:p w14:paraId="61339392" w14:textId="49761022" w:rsidR="003566C3" w:rsidRPr="00D00638" w:rsidRDefault="003566C3" w:rsidP="00D00638">
      <w:pPr>
        <w:ind w:right="210"/>
        <w:rPr>
          <w:b/>
          <w:i/>
          <w:iCs/>
          <w:color w:val="C00000"/>
          <w:lang w:eastAsia="en-IE"/>
        </w:rPr>
      </w:pPr>
      <w:r w:rsidRPr="00D00638">
        <w:rPr>
          <w:b/>
          <w:i/>
          <w:iCs/>
          <w:color w:val="C00000"/>
          <w:lang w:eastAsia="en-IE"/>
        </w:rPr>
        <w:t xml:space="preserve">Partenariat </w:t>
      </w:r>
      <w:proofErr w:type="spellStart"/>
      <w:r w:rsidRPr="00D00638">
        <w:rPr>
          <w:b/>
          <w:i/>
          <w:iCs/>
          <w:color w:val="C00000"/>
          <w:lang w:eastAsia="en-IE"/>
        </w:rPr>
        <w:t>win-win</w:t>
      </w:r>
      <w:proofErr w:type="spellEnd"/>
      <w:r w:rsidRPr="00D00638">
        <w:rPr>
          <w:b/>
          <w:i/>
          <w:iCs/>
          <w:color w:val="C00000"/>
          <w:lang w:eastAsia="en-IE"/>
        </w:rPr>
        <w:t xml:space="preserve"> avec Enda </w:t>
      </w:r>
      <w:proofErr w:type="spellStart"/>
      <w:r w:rsidRPr="00D00638">
        <w:rPr>
          <w:b/>
          <w:i/>
          <w:iCs/>
          <w:color w:val="C00000"/>
          <w:lang w:eastAsia="en-IE"/>
        </w:rPr>
        <w:t>Tamweel</w:t>
      </w:r>
      <w:proofErr w:type="spellEnd"/>
    </w:p>
    <w:p w14:paraId="219CFAD2" w14:textId="721C9AE1" w:rsidR="003566C3" w:rsidRDefault="00811945" w:rsidP="00F645BD">
      <w:pPr>
        <w:pStyle w:val="Paragraphedeliste"/>
        <w:ind w:left="900"/>
      </w:pPr>
      <w:r>
        <w:rPr>
          <w:noProof/>
          <w:lang w:eastAsia="en-IE"/>
        </w:rPr>
        <w:lastRenderedPageBreak/>
        <mc:AlternateContent>
          <mc:Choice Requires="wps">
            <w:drawing>
              <wp:anchor distT="0" distB="0" distL="114300" distR="114300" simplePos="0" relativeHeight="251658240" behindDoc="0" locked="0" layoutInCell="1" allowOverlap="1" wp14:anchorId="65B5B725" wp14:editId="3AAE2240">
                <wp:simplePos x="0" y="0"/>
                <wp:positionH relativeFrom="margin">
                  <wp:posOffset>3367065</wp:posOffset>
                </wp:positionH>
                <wp:positionV relativeFrom="margin">
                  <wp:posOffset>833858</wp:posOffset>
                </wp:positionV>
                <wp:extent cx="2431415" cy="3051175"/>
                <wp:effectExtent l="0" t="0" r="26035" b="158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3051175"/>
                        </a:xfrm>
                        <a:prstGeom prst="rect">
                          <a:avLst/>
                        </a:prstGeom>
                        <a:solidFill>
                          <a:srgbClr val="C00000"/>
                        </a:solidFill>
                        <a:ln w="9525">
                          <a:solidFill>
                            <a:srgbClr val="000000"/>
                          </a:solidFill>
                          <a:miter lim="800000"/>
                          <a:headEnd/>
                          <a:tailEnd/>
                        </a:ln>
                      </wps:spPr>
                      <wps:txbx>
                        <w:txbxContent>
                          <w:p w14:paraId="73C59E58" w14:textId="1B371AFE" w:rsidR="003566C3" w:rsidRDefault="003566C3">
                            <w:r w:rsidRPr="008A77D8">
                              <w:rPr>
                                <w:b/>
                                <w:bCs/>
                                <w:u w:val="single"/>
                              </w:rPr>
                              <w:t>Encadré : témoign</w:t>
                            </w:r>
                            <w:r w:rsidR="008A77D8">
                              <w:rPr>
                                <w:b/>
                                <w:bCs/>
                                <w:u w:val="single"/>
                              </w:rPr>
                              <w:t>age</w:t>
                            </w:r>
                            <w:r w:rsidRPr="008A77D8">
                              <w:rPr>
                                <w:b/>
                                <w:bCs/>
                                <w:u w:val="single"/>
                              </w:rPr>
                              <w:t xml:space="preserve"> Enda</w:t>
                            </w:r>
                            <w:r w:rsidR="008A77D8">
                              <w:t xml:space="preserve"> Mehdi Mnif : </w:t>
                            </w:r>
                            <w:r w:rsidR="00702EAB">
                              <w:t xml:space="preserve">Responsable </w:t>
                            </w:r>
                            <w:r w:rsidR="008A77D8">
                              <w:t>étude et veille</w:t>
                            </w:r>
                          </w:p>
                          <w:p w14:paraId="2FFB9530" w14:textId="2F704331" w:rsidR="008A77D8" w:rsidRDefault="008A77D8">
                            <w:r>
                              <w:t xml:space="preserve">Pour Enda Tawmeel, les OPA est un cible trè-s important puisque nous sommes convaincus que l’organisation des agriculteurs.trices  peut aider à faire face aux problèmes qui confrontent les agriculteurs individuels tels que les changements climatiques, l’accès aux intrants et la commercialisation des produits. Elles auront donc besoin des investissements collectifs pour développer leurs services et </w:t>
                            </w:r>
                            <w:r w:rsidR="00F94844">
                              <w:t>créer de la valeur ajoutée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5B5B725">
                <v:stroke joinstyle="miter"/>
                <v:path gradientshapeok="t" o:connecttype="rect"/>
              </v:shapetype>
              <v:shape id="Zone de texte 2" style="position:absolute;left:0;text-align:left;margin-left:265.1pt;margin-top:65.65pt;width:191.45pt;height:24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c0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">
                <v:textbox>
                  <w:txbxContent>
                    <w:p w:rsidR="003566C3" w:rsidRDefault="003566C3" w14:paraId="73C59E58" w14:textId="1B371AFE">
                      <w:r w:rsidRPr="008A77D8">
                        <w:rPr>
                          <w:b/>
                          <w:bCs/>
                          <w:u w:val="single"/>
                        </w:rPr>
                        <w:t>Encadré : témoign</w:t>
                      </w:r>
                      <w:r w:rsidR="008A77D8">
                        <w:rPr>
                          <w:b/>
                          <w:bCs/>
                          <w:u w:val="single"/>
                        </w:rPr>
                        <w:t>age</w:t>
                      </w:r>
                      <w:r w:rsidRPr="008A77D8">
                        <w:rPr>
                          <w:b/>
                          <w:bCs/>
                          <w:u w:val="single"/>
                        </w:rPr>
                        <w:t xml:space="preserve"> Enda</w:t>
                      </w:r>
                      <w:r w:rsidR="008A77D8">
                        <w:t xml:space="preserve"> Mehdi </w:t>
                      </w:r>
                      <w:proofErr w:type="spellStart"/>
                      <w:r w:rsidR="008A77D8">
                        <w:t>Mnif</w:t>
                      </w:r>
                      <w:proofErr w:type="spellEnd"/>
                      <w:r w:rsidR="008A77D8">
                        <w:t xml:space="preserve"> : </w:t>
                      </w:r>
                      <w:r w:rsidR="00702EAB">
                        <w:t xml:space="preserve">Responsable </w:t>
                      </w:r>
                      <w:r w:rsidR="008A77D8">
                        <w:t>étude et veille</w:t>
                      </w:r>
                    </w:p>
                    <w:p w:rsidR="008A77D8" w:rsidRDefault="008A77D8" w14:paraId="2FFB9530" w14:textId="2F704331">
                      <w:r>
                        <w:t xml:space="preserve">Pour Enda </w:t>
                      </w:r>
                      <w:proofErr w:type="spellStart"/>
                      <w:r>
                        <w:t>Tawmeel</w:t>
                      </w:r>
                      <w:proofErr w:type="spellEnd"/>
                      <w:r>
                        <w:t xml:space="preserve">, les OPA est un cible </w:t>
                      </w:r>
                      <w:proofErr w:type="spellStart"/>
                      <w:r>
                        <w:t>trè-s</w:t>
                      </w:r>
                      <w:proofErr w:type="spellEnd"/>
                      <w:r>
                        <w:t xml:space="preserve"> important puisque nous sommes convaincus que l’organisation des </w:t>
                      </w:r>
                      <w:proofErr w:type="spellStart"/>
                      <w:proofErr w:type="gramStart"/>
                      <w:r>
                        <w:t>agriculteurs.trices</w:t>
                      </w:r>
                      <w:proofErr w:type="spellEnd"/>
                      <w:proofErr w:type="gramEnd"/>
                      <w:r>
                        <w:t xml:space="preserve">  peut aider à faire face aux problèmes qui confrontent les agriculteurs individuels tels que les changements climatiques, l’accès aux intrants et la commercialisation des produits. Elles auront donc besoin des investissements collectifs pour développer leurs services et </w:t>
                      </w:r>
                      <w:r w:rsidR="00F94844">
                        <w:t>créer de la valeur ajoutée</w:t>
                      </w:r>
                    </w:p>
                  </w:txbxContent>
                </v:textbox>
                <w10:wrap type="square" anchorx="margin" anchory="margin"/>
              </v:shape>
            </w:pict>
          </mc:Fallback>
        </mc:AlternateContent>
      </w:r>
      <w:r w:rsidR="003566C3">
        <w:t xml:space="preserve">Enda </w:t>
      </w:r>
      <w:proofErr w:type="spellStart"/>
      <w:r w:rsidR="003566C3">
        <w:t>Tawmeel</w:t>
      </w:r>
      <w:proofErr w:type="spellEnd"/>
      <w:r w:rsidR="003566C3">
        <w:t xml:space="preserve"> a montré un intérêt remarquable pour cibler les OPA comme segment client stratégique ce que se traduit déjà dans le développement de leur stratégie de financement agricole.</w:t>
      </w:r>
    </w:p>
    <w:p w14:paraId="3A0ECAFE" w14:textId="2E7C06D9" w:rsidR="003566C3" w:rsidRDefault="003566C3" w:rsidP="00702EAB">
      <w:pPr>
        <w:pStyle w:val="Paragraphedeliste"/>
        <w:ind w:left="900"/>
      </w:pPr>
      <w:r>
        <w:t xml:space="preserve">La GIZ et ENDA </w:t>
      </w:r>
      <w:proofErr w:type="spellStart"/>
      <w:r w:rsidR="00F94844">
        <w:t>Tamweel</w:t>
      </w:r>
      <w:proofErr w:type="spellEnd"/>
      <w:r w:rsidR="00F94844">
        <w:t xml:space="preserve"> </w:t>
      </w:r>
      <w:r>
        <w:t xml:space="preserve">ont uni leurs forces pour créer un produit financier sur mesure qui réduirait l'écart entre la demande et l'offre de crédit spécifiquement pour les SMSA / GDA. </w:t>
      </w:r>
      <w:r w:rsidR="000E3E33">
        <w:t xml:space="preserve">A cet égard, le nouveau mécanisme collectif </w:t>
      </w:r>
      <w:r w:rsidR="003A6323">
        <w:t xml:space="preserve">répond à certains défis majeurs d’accès </w:t>
      </w:r>
      <w:r w:rsidR="00A06C1C">
        <w:t xml:space="preserve">des OPA </w:t>
      </w:r>
      <w:r w:rsidR="003A6323">
        <w:t xml:space="preserve">aux produits financiers </w:t>
      </w:r>
      <w:r w:rsidR="00905A97">
        <w:t>(délai, garantie, montants) en proposant</w:t>
      </w:r>
      <w:r w:rsidR="000E3E33">
        <w:t xml:space="preserve"> des avantages comparatifs</w:t>
      </w:r>
      <w:r w:rsidR="00CA149D">
        <w:t xml:space="preserve">, à </w:t>
      </w:r>
      <w:r w:rsidR="128E4193">
        <w:t>savoir :</w:t>
      </w:r>
      <w:r w:rsidR="00CA149D">
        <w:t xml:space="preserve"> </w:t>
      </w:r>
      <w:r w:rsidR="00013DEE">
        <w:t xml:space="preserve">réduction de délai de traitement des demandes, </w:t>
      </w:r>
      <w:r w:rsidR="00636BF5">
        <w:t xml:space="preserve">flexibilité de remboursement, </w:t>
      </w:r>
      <w:r w:rsidR="00F56BBE">
        <w:t xml:space="preserve">flexibilité au niveau de garantie (solidaire </w:t>
      </w:r>
      <w:proofErr w:type="spellStart"/>
      <w:r w:rsidR="00F56BBE">
        <w:t>etc</w:t>
      </w:r>
      <w:proofErr w:type="spellEnd"/>
      <w:r w:rsidR="00F56BBE">
        <w:t>) et</w:t>
      </w:r>
      <w:r w:rsidR="00923B43">
        <w:t xml:space="preserve"> </w:t>
      </w:r>
      <w:r w:rsidR="00636DC5">
        <w:t xml:space="preserve">montant </w:t>
      </w:r>
      <w:r w:rsidR="00D11558">
        <w:t xml:space="preserve">adéquat aux besoins </w:t>
      </w:r>
      <w:r w:rsidR="009969F3">
        <w:t xml:space="preserve">de développement </w:t>
      </w:r>
      <w:r w:rsidR="00D11558">
        <w:t xml:space="preserve">des </w:t>
      </w:r>
      <w:r w:rsidR="00292D95">
        <w:t>OPA</w:t>
      </w:r>
      <w:r w:rsidR="00FA2F23">
        <w:t>.</w:t>
      </w:r>
    </w:p>
    <w:p w14:paraId="76F2B3FD" w14:textId="7EBE1A25" w:rsidR="003566C3" w:rsidRPr="00D00638" w:rsidRDefault="003566C3" w:rsidP="00D00638">
      <w:pPr>
        <w:pStyle w:val="Paragraphedeliste"/>
        <w:numPr>
          <w:ilvl w:val="3"/>
          <w:numId w:val="7"/>
        </w:numPr>
      </w:pPr>
      <w:r>
        <w:t>ENDA TAMWEE</w:t>
      </w:r>
      <w:r w:rsidR="007C67E3">
        <w:t>L a créé le premier et l'unique produit financier (crédit d'équipement)</w:t>
      </w:r>
      <w:r w:rsidR="00B777B8">
        <w:t xml:space="preserve"> de </w:t>
      </w:r>
      <w:r w:rsidR="1996BBDC">
        <w:t>microfinance spécifique</w:t>
      </w:r>
      <w:r w:rsidR="007C67E3">
        <w:t xml:space="preserve"> pour les OPA qui constitu</w:t>
      </w:r>
      <w:r w:rsidR="00CC5408">
        <w:t>ait</w:t>
      </w:r>
      <w:r w:rsidR="007C67E3">
        <w:t xml:space="preserve"> une dérogation à la réglementation tunisienne qui n'autorise pas les IMF à financer les personnes morales</w:t>
      </w:r>
      <w:r w:rsidR="00597001">
        <w:t xml:space="preserve"> en attendant</w:t>
      </w:r>
      <w:r w:rsidR="00E655FA">
        <w:t xml:space="preserve"> l’application de changement de cette loi</w:t>
      </w:r>
      <w:r w:rsidR="007C67E3">
        <w:t xml:space="preserve">.  </w:t>
      </w:r>
      <w:r w:rsidR="007C67E3" w:rsidRPr="5AB660CF">
        <w:rPr>
          <w:b/>
          <w:bCs/>
        </w:rPr>
        <w:t xml:space="preserve">Cette dérogation permet à Enda </w:t>
      </w:r>
      <w:proofErr w:type="spellStart"/>
      <w:r w:rsidR="007C67E3" w:rsidRPr="5AB660CF">
        <w:rPr>
          <w:b/>
          <w:bCs/>
        </w:rPr>
        <w:t>Tamweel</w:t>
      </w:r>
      <w:proofErr w:type="spellEnd"/>
      <w:r w:rsidR="007C67E3" w:rsidRPr="5AB660CF">
        <w:rPr>
          <w:b/>
          <w:bCs/>
        </w:rPr>
        <w:t xml:space="preserve"> de financer les adhérents des OPA en vue de réaliser des investissements destinés à un usage </w:t>
      </w:r>
      <w:r w:rsidR="27706A3B" w:rsidRPr="5AB660CF">
        <w:rPr>
          <w:b/>
          <w:bCs/>
        </w:rPr>
        <w:t>commun.</w:t>
      </w:r>
    </w:p>
    <w:p w14:paraId="6F485FE0" w14:textId="7F25EDFA" w:rsidR="00495238" w:rsidRPr="00D00638" w:rsidRDefault="003566C3" w:rsidP="00D00638">
      <w:pPr>
        <w:ind w:right="210"/>
        <w:rPr>
          <w:b/>
          <w:i/>
          <w:iCs/>
          <w:color w:val="C00000"/>
          <w:lang w:eastAsia="en-IE"/>
        </w:rPr>
      </w:pPr>
      <w:r w:rsidRPr="00D00638">
        <w:rPr>
          <w:b/>
          <w:i/>
          <w:iCs/>
          <w:color w:val="C00000"/>
          <w:lang w:eastAsia="en-IE"/>
        </w:rPr>
        <w:t>Acquis et impact</w:t>
      </w:r>
    </w:p>
    <w:p w14:paraId="64859C90" w14:textId="1202752C" w:rsidR="00821967" w:rsidRDefault="00F94844">
      <w:r w:rsidRPr="00F94844">
        <w:rPr>
          <w:b/>
          <w:bCs/>
          <w:u w:val="single"/>
        </w:rPr>
        <w:t>Modèle du succès :</w:t>
      </w:r>
      <w:r>
        <w:t xml:space="preserve"> </w:t>
      </w:r>
      <w:r w:rsidR="006F0C8F">
        <w:t>Cette collaboration serve comme modèle d’alliance avec le secteur privé/financier où nous pouvons prouver qu’un partenariat gagnant/gagnant est toujours possible en r</w:t>
      </w:r>
      <w:r w:rsidR="00821967">
        <w:t>éduisant l’asymétrie entre la demande et l’offre à travers : le renforcement des compétences du côté de la demande et l’adaptation des produits du côté de l’offre.</w:t>
      </w:r>
    </w:p>
    <w:p w14:paraId="0E594243" w14:textId="0B6A3D37" w:rsidR="00821967" w:rsidRDefault="00821967">
      <w:r>
        <w:t xml:space="preserve">Un tel partenariat a mis en lumière aussi la spécificité de la réglementation de la microfinance en Tunisie qui </w:t>
      </w:r>
      <w:r w:rsidR="008A61F2">
        <w:t>reste</w:t>
      </w:r>
      <w:r w:rsidR="002375CC">
        <w:t xml:space="preserve">, malgré l’ouverture </w:t>
      </w:r>
      <w:r w:rsidR="00825D1E">
        <w:t>récente</w:t>
      </w:r>
      <w:r w:rsidR="00DE26C0">
        <w:t xml:space="preserve"> au</w:t>
      </w:r>
      <w:r w:rsidR="00825D1E">
        <w:t xml:space="preserve"> financement des personnes </w:t>
      </w:r>
      <w:r w:rsidR="007F3208">
        <w:t>morales, limitée</w:t>
      </w:r>
      <w:r>
        <w:t xml:space="preserve"> avec des plafonds </w:t>
      </w:r>
      <w:r w:rsidR="00C2433A">
        <w:t>de financement</w:t>
      </w:r>
      <w:r w:rsidR="00093E96">
        <w:t xml:space="preserve"> réduits</w:t>
      </w:r>
      <w:r>
        <w:t xml:space="preserve">. Le développement et le pilotage d’un mécanisme de financement collectif </w:t>
      </w:r>
      <w:r w:rsidR="00DE6221">
        <w:t xml:space="preserve">pour les OPA </w:t>
      </w:r>
      <w:r w:rsidR="00785FEB">
        <w:t xml:space="preserve">à travers </w:t>
      </w:r>
      <w:r w:rsidR="00D37BFF">
        <w:t xml:space="preserve">les </w:t>
      </w:r>
      <w:r>
        <w:t xml:space="preserve">IMF </w:t>
      </w:r>
      <w:r w:rsidR="00242AA2">
        <w:t>encourage</w:t>
      </w:r>
      <w:r w:rsidR="00DE6221">
        <w:t xml:space="preserve"> une révision de</w:t>
      </w:r>
      <w:r>
        <w:t xml:space="preserve"> la règlementation </w:t>
      </w:r>
      <w:r w:rsidR="00EC61BB">
        <w:t>courante</w:t>
      </w:r>
      <w:r>
        <w:t>.</w:t>
      </w:r>
      <w:r w:rsidR="008546F5">
        <w:t xml:space="preserve"> L’objectif est de </w:t>
      </w:r>
      <w:r w:rsidR="00E55B17">
        <w:t xml:space="preserve">faciliter l’inclusion des acteurs agricoles traditionnellement exclus des services financiers, répondre à leur besoin en financement, et générer des effets multiplicateurs </w:t>
      </w:r>
      <w:r w:rsidR="00FE7E0C">
        <w:t xml:space="preserve">dans l’économie du secteur. </w:t>
      </w:r>
    </w:p>
    <w:p w14:paraId="7BB2ED56" w14:textId="23BD07A8" w:rsidR="00F94844" w:rsidRPr="00F94844" w:rsidRDefault="00DD7594">
      <w:pPr>
        <w:rPr>
          <w:b/>
          <w:bCs/>
          <w:u w:val="single"/>
        </w:rPr>
      </w:pPr>
      <w:r>
        <w:rPr>
          <w:b/>
          <w:bCs/>
          <w:u w:val="single"/>
        </w:rPr>
        <w:t>Applications</w:t>
      </w:r>
      <w:r w:rsidR="00F87723">
        <w:rPr>
          <w:b/>
          <w:bCs/>
          <w:u w:val="single"/>
        </w:rPr>
        <w:t xml:space="preserve"> du </w:t>
      </w:r>
      <w:r w:rsidR="0095758A">
        <w:rPr>
          <w:b/>
          <w:bCs/>
          <w:u w:val="single"/>
        </w:rPr>
        <w:t>mécanisme</w:t>
      </w:r>
    </w:p>
    <w:p w14:paraId="3A09331D" w14:textId="4B64A83B" w:rsidR="00F94844" w:rsidRDefault="00F94844">
      <w:r>
        <w:t xml:space="preserve">Après finalisation et approbation de ce mécanisme collectif, </w:t>
      </w:r>
      <w:r w:rsidRPr="00D00638">
        <w:rPr>
          <w:b/>
          <w:bCs/>
        </w:rPr>
        <w:t>deux demandes de financement</w:t>
      </w:r>
      <w:r w:rsidRPr="00D00638">
        <w:t xml:space="preserve"> </w:t>
      </w:r>
      <w:r>
        <w:t xml:space="preserve">sont en phase finale d’implémentation avec deux GDA à </w:t>
      </w:r>
      <w:proofErr w:type="spellStart"/>
      <w:r>
        <w:t>Douz</w:t>
      </w:r>
      <w:proofErr w:type="spellEnd"/>
      <w:r>
        <w:t xml:space="preserve"> et Béja.</w:t>
      </w:r>
    </w:p>
    <w:p w14:paraId="6C20ACF6" w14:textId="0A00B843" w:rsidR="00F94844" w:rsidRPr="00D00638" w:rsidRDefault="00F94844">
      <w:pPr>
        <w:rPr>
          <w:b/>
          <w:bCs/>
        </w:rPr>
      </w:pPr>
      <w:r>
        <w:t xml:space="preserve">Enda </w:t>
      </w:r>
      <w:proofErr w:type="spellStart"/>
      <w:r>
        <w:t>Tamweel</w:t>
      </w:r>
      <w:proofErr w:type="spellEnd"/>
      <w:r>
        <w:t xml:space="preserve">, prévoit l’ajustement sur la base de ces deux pilotes avant de </w:t>
      </w:r>
      <w:r w:rsidRPr="00F94844">
        <w:rPr>
          <w:b/>
          <w:bCs/>
        </w:rPr>
        <w:t>généraliser le mécanisme sur tout le territoire tunisien.</w:t>
      </w:r>
    </w:p>
    <w:p w14:paraId="54BC4782" w14:textId="37F756C2" w:rsidR="00495238" w:rsidRDefault="001D6E22">
      <w:pPr>
        <w:pStyle w:val="Titre1"/>
        <w:rPr>
          <w:b/>
          <w:bCs/>
          <w:color w:val="C00000"/>
        </w:rPr>
      </w:pPr>
      <w:r>
        <w:rPr>
          <w:b/>
          <w:bCs/>
          <w:color w:val="C00000"/>
        </w:rPr>
        <w:t>Carac</w:t>
      </w:r>
      <w:r w:rsidR="00F72FD7">
        <w:rPr>
          <w:b/>
          <w:bCs/>
          <w:color w:val="C00000"/>
        </w:rPr>
        <w:t>téristiques</w:t>
      </w:r>
      <w:r w:rsidRPr="005F0518">
        <w:rPr>
          <w:b/>
          <w:bCs/>
          <w:color w:val="C00000"/>
        </w:rPr>
        <w:t xml:space="preserve"> </w:t>
      </w:r>
      <w:r w:rsidR="00D00638" w:rsidRPr="005F0518">
        <w:rPr>
          <w:b/>
          <w:bCs/>
          <w:color w:val="C00000"/>
        </w:rPr>
        <w:t xml:space="preserve">du mécanisme de financement </w:t>
      </w:r>
    </w:p>
    <w:bookmarkEnd w:id="0"/>
    <w:p w14:paraId="152A9AED" w14:textId="4BC68DB4" w:rsidR="00495238" w:rsidRDefault="00D00638">
      <w:pPr>
        <w:pStyle w:val="Paragraphedeliste"/>
        <w:numPr>
          <w:ilvl w:val="0"/>
          <w:numId w:val="1"/>
        </w:numPr>
        <w:spacing w:line="240" w:lineRule="auto"/>
        <w:ind w:left="425" w:hanging="357"/>
        <w:contextualSpacing/>
        <w:rPr>
          <w:lang w:val="fr-FR"/>
        </w:rPr>
      </w:pPr>
      <w:r w:rsidRPr="00C545FA">
        <w:rPr>
          <w:bCs/>
          <w:lang w:val="fr-FR"/>
        </w:rPr>
        <w:t>Cadre : Convention ENDA/PEAD-G</w:t>
      </w:r>
      <w:r w:rsidR="00D72C9D">
        <w:rPr>
          <w:bCs/>
          <w:lang w:val="fr-FR"/>
        </w:rPr>
        <w:t>IZ</w:t>
      </w:r>
    </w:p>
    <w:p w14:paraId="1E862741" w14:textId="120088E3" w:rsidR="00495238" w:rsidRDefault="00D00638">
      <w:pPr>
        <w:pStyle w:val="Paragraphedeliste"/>
        <w:numPr>
          <w:ilvl w:val="0"/>
          <w:numId w:val="1"/>
        </w:numPr>
        <w:spacing w:line="240" w:lineRule="auto"/>
        <w:ind w:left="425" w:hanging="357"/>
        <w:contextualSpacing/>
        <w:rPr>
          <w:lang w:val="fr-FR"/>
        </w:rPr>
      </w:pPr>
      <w:r w:rsidRPr="00C545FA">
        <w:rPr>
          <w:lang w:val="fr-FR"/>
        </w:rPr>
        <w:t>Produit financier : Crédit d'équipement/investissement OPA</w:t>
      </w:r>
      <w:r w:rsidR="003566C3">
        <w:rPr>
          <w:lang w:val="fr-FR"/>
        </w:rPr>
        <w:t xml:space="preserve"> « </w:t>
      </w:r>
      <w:proofErr w:type="spellStart"/>
      <w:r w:rsidR="003566C3">
        <w:rPr>
          <w:lang w:val="fr-FR"/>
        </w:rPr>
        <w:t>Agri’Group</w:t>
      </w:r>
      <w:proofErr w:type="spellEnd"/>
      <w:r w:rsidR="003566C3">
        <w:rPr>
          <w:lang w:val="fr-FR"/>
        </w:rPr>
        <w:t> »</w:t>
      </w:r>
    </w:p>
    <w:p w14:paraId="1B9CA216" w14:textId="77777777" w:rsidR="00495238" w:rsidRDefault="00D00638">
      <w:pPr>
        <w:pStyle w:val="Paragraphedeliste"/>
        <w:numPr>
          <w:ilvl w:val="0"/>
          <w:numId w:val="1"/>
        </w:numPr>
        <w:spacing w:line="240" w:lineRule="auto"/>
        <w:ind w:left="425" w:hanging="357"/>
        <w:contextualSpacing/>
        <w:rPr>
          <w:b/>
          <w:lang w:val="fr-FR"/>
        </w:rPr>
      </w:pPr>
      <w:r w:rsidRPr="00C545FA">
        <w:rPr>
          <w:bCs/>
          <w:lang w:val="fr-FR"/>
        </w:rPr>
        <w:t xml:space="preserve">Modalité de financement : Direct (ENDA) ou par cofinancement </w:t>
      </w:r>
    </w:p>
    <w:p w14:paraId="6302E5AE" w14:textId="77777777" w:rsidR="00495238" w:rsidRDefault="00D00638">
      <w:pPr>
        <w:pStyle w:val="Paragraphedeliste"/>
        <w:numPr>
          <w:ilvl w:val="0"/>
          <w:numId w:val="1"/>
        </w:numPr>
        <w:spacing w:line="240" w:lineRule="auto"/>
        <w:ind w:left="425" w:hanging="357"/>
        <w:contextualSpacing/>
        <w:rPr>
          <w:b/>
          <w:lang w:val="fr-FR"/>
        </w:rPr>
      </w:pPr>
      <w:r w:rsidRPr="00C545FA">
        <w:rPr>
          <w:bCs/>
          <w:lang w:val="fr-FR"/>
        </w:rPr>
        <w:t>Population cible : OPA (Adhérents qui portent le prêt)</w:t>
      </w:r>
    </w:p>
    <w:p w14:paraId="01322D31" w14:textId="025D236E" w:rsidR="00495238" w:rsidRDefault="00DD7594" w:rsidP="00D00638">
      <w:pPr>
        <w:pStyle w:val="Lgende"/>
        <w:rPr>
          <w:b w:val="0"/>
          <w:sz w:val="19"/>
        </w:rPr>
      </w:pPr>
      <w:bookmarkStart w:id="1" w:name="_Toc157519832"/>
      <w:r w:rsidRPr="00C545FA">
        <w:lastRenderedPageBreak/>
        <w:t xml:space="preserve">Tableau </w:t>
      </w:r>
      <w:r w:rsidRPr="0022468B">
        <w:rPr>
          <w:sz w:val="19"/>
        </w:rPr>
        <w:t>:</w:t>
      </w:r>
      <w:r w:rsidR="00D00638" w:rsidRPr="0022468B">
        <w:rPr>
          <w:sz w:val="19"/>
        </w:rPr>
        <w:t xml:space="preserve"> Conditions du prêt</w:t>
      </w:r>
      <w:bookmarkEnd w:id="1"/>
    </w:p>
    <w:tbl>
      <w:tblPr>
        <w:tblStyle w:val="Listeclaire-Accent2"/>
        <w:tblW w:w="96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67"/>
        <w:gridCol w:w="6667"/>
      </w:tblGrid>
      <w:tr w:rsidR="000B52BB" w:rsidRPr="00700034" w14:paraId="7E904E6C" w14:textId="77777777">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7CFC5044" w14:textId="77777777" w:rsidR="00495238" w:rsidRDefault="00D00638">
            <w:pPr>
              <w:spacing w:after="40" w:line="240" w:lineRule="auto"/>
              <w:rPr>
                <w:sz w:val="19"/>
                <w:szCs w:val="19"/>
              </w:rPr>
            </w:pPr>
            <w:r w:rsidRPr="00700034">
              <w:rPr>
                <w:sz w:val="19"/>
                <w:szCs w:val="19"/>
              </w:rPr>
              <w:t>Conditions du prêt</w:t>
            </w:r>
          </w:p>
        </w:tc>
        <w:tc>
          <w:tcPr>
            <w:tcW w:w="6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76A04BFE" w14:textId="77777777" w:rsidR="000B52BB" w:rsidRPr="00700034" w:rsidRDefault="000B52BB">
            <w:pPr>
              <w:spacing w:after="40" w:line="240" w:lineRule="auto"/>
              <w:cnfStyle w:val="100000000000" w:firstRow="1" w:lastRow="0" w:firstColumn="0" w:lastColumn="0" w:oddVBand="0" w:evenVBand="0" w:oddHBand="0" w:evenHBand="0" w:firstRowFirstColumn="0" w:firstRowLastColumn="0" w:lastRowFirstColumn="0" w:lastRowLastColumn="0"/>
              <w:rPr>
                <w:sz w:val="19"/>
                <w:szCs w:val="19"/>
              </w:rPr>
            </w:pPr>
          </w:p>
        </w:tc>
      </w:tr>
      <w:tr w:rsidR="000B52BB" w:rsidRPr="00700034" w14:paraId="46D9CC8B" w14:textId="7777777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67" w:type="dxa"/>
          </w:tcPr>
          <w:p w14:paraId="352645B1" w14:textId="77777777" w:rsidR="00495238" w:rsidRDefault="00D00638">
            <w:pPr>
              <w:spacing w:after="40" w:line="240" w:lineRule="auto"/>
              <w:jc w:val="left"/>
              <w:rPr>
                <w:sz w:val="19"/>
                <w:szCs w:val="19"/>
              </w:rPr>
            </w:pPr>
            <w:r w:rsidRPr="00700034">
              <w:rPr>
                <w:sz w:val="19"/>
                <w:szCs w:val="19"/>
              </w:rPr>
              <w:t>Période de remboursement</w:t>
            </w:r>
          </w:p>
        </w:tc>
        <w:tc>
          <w:tcPr>
            <w:tcW w:w="6667" w:type="dxa"/>
          </w:tcPr>
          <w:p w14:paraId="184C6C0C" w14:textId="77777777" w:rsidR="00495238" w:rsidRDefault="00D00638">
            <w:pPr>
              <w:spacing w:after="40"/>
              <w:cnfStyle w:val="000000100000" w:firstRow="0" w:lastRow="0" w:firstColumn="0" w:lastColumn="0" w:oddVBand="0" w:evenVBand="0" w:oddHBand="1" w:evenHBand="0" w:firstRowFirstColumn="0" w:firstRowLastColumn="0" w:lastRowFirstColumn="0" w:lastRowLastColumn="0"/>
              <w:rPr>
                <w:sz w:val="19"/>
                <w:szCs w:val="19"/>
              </w:rPr>
            </w:pPr>
            <w:r w:rsidRPr="00700034">
              <w:rPr>
                <w:sz w:val="19"/>
                <w:szCs w:val="19"/>
              </w:rPr>
              <w:t xml:space="preserve">84 mois max </w:t>
            </w:r>
          </w:p>
        </w:tc>
      </w:tr>
      <w:tr w:rsidR="000B52BB" w:rsidRPr="00700034" w14:paraId="0C08F400" w14:textId="77777777">
        <w:trPr>
          <w:trHeight w:val="390"/>
        </w:trPr>
        <w:tc>
          <w:tcPr>
            <w:cnfStyle w:val="001000000000" w:firstRow="0" w:lastRow="0" w:firstColumn="1" w:lastColumn="0" w:oddVBand="0" w:evenVBand="0" w:oddHBand="0" w:evenHBand="0" w:firstRowFirstColumn="0" w:firstRowLastColumn="0" w:lastRowFirstColumn="0" w:lastRowLastColumn="0"/>
            <w:tcW w:w="2967" w:type="dxa"/>
          </w:tcPr>
          <w:p w14:paraId="2C88D593" w14:textId="77777777" w:rsidR="00495238" w:rsidRDefault="00D00638">
            <w:pPr>
              <w:spacing w:after="40" w:line="240" w:lineRule="auto"/>
              <w:jc w:val="left"/>
              <w:rPr>
                <w:sz w:val="19"/>
                <w:szCs w:val="19"/>
              </w:rPr>
            </w:pPr>
            <w:r w:rsidRPr="00700034">
              <w:rPr>
                <w:sz w:val="19"/>
                <w:szCs w:val="19"/>
              </w:rPr>
              <w:t>Durée de grâce</w:t>
            </w:r>
          </w:p>
        </w:tc>
        <w:tc>
          <w:tcPr>
            <w:tcW w:w="6667" w:type="dxa"/>
          </w:tcPr>
          <w:p w14:paraId="18764385" w14:textId="1F6532FC" w:rsidR="00495238" w:rsidRDefault="00D00638">
            <w:pPr>
              <w:spacing w:after="40"/>
              <w:cnfStyle w:val="000000000000" w:firstRow="0" w:lastRow="0" w:firstColumn="0" w:lastColumn="0" w:oddVBand="0" w:evenVBand="0" w:oddHBand="0" w:evenHBand="0" w:firstRowFirstColumn="0" w:firstRowLastColumn="0" w:lastRowFirstColumn="0" w:lastRowLastColumn="0"/>
              <w:rPr>
                <w:sz w:val="19"/>
                <w:szCs w:val="19"/>
              </w:rPr>
            </w:pPr>
            <w:r w:rsidRPr="00700034">
              <w:rPr>
                <w:sz w:val="19"/>
                <w:szCs w:val="19"/>
              </w:rPr>
              <w:t xml:space="preserve">12 mois max </w:t>
            </w:r>
          </w:p>
        </w:tc>
      </w:tr>
      <w:tr w:rsidR="000B52BB" w:rsidRPr="00700034" w14:paraId="6E6B41CF" w14:textId="7777777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67" w:type="dxa"/>
          </w:tcPr>
          <w:p w14:paraId="4E855DB2" w14:textId="77777777" w:rsidR="00495238" w:rsidRDefault="00D00638">
            <w:pPr>
              <w:spacing w:after="40" w:line="240" w:lineRule="auto"/>
              <w:jc w:val="left"/>
              <w:rPr>
                <w:sz w:val="19"/>
                <w:szCs w:val="19"/>
              </w:rPr>
            </w:pPr>
            <w:r w:rsidRPr="00700034">
              <w:rPr>
                <w:sz w:val="19"/>
                <w:szCs w:val="19"/>
              </w:rPr>
              <w:t>Montant à emprunter</w:t>
            </w:r>
          </w:p>
        </w:tc>
        <w:tc>
          <w:tcPr>
            <w:tcW w:w="6667" w:type="dxa"/>
          </w:tcPr>
          <w:p w14:paraId="6D684A41" w14:textId="77777777" w:rsidR="00495238" w:rsidRDefault="00D00638">
            <w:pPr>
              <w:spacing w:after="40"/>
              <w:cnfStyle w:val="000000100000" w:firstRow="0" w:lastRow="0" w:firstColumn="0" w:lastColumn="0" w:oddVBand="0" w:evenVBand="0" w:oddHBand="1" w:evenHBand="0" w:firstRowFirstColumn="0" w:firstRowLastColumn="0" w:lastRowFirstColumn="0" w:lastRowLastColumn="0"/>
              <w:rPr>
                <w:sz w:val="19"/>
                <w:szCs w:val="19"/>
              </w:rPr>
            </w:pPr>
            <w:r w:rsidRPr="00700034">
              <w:rPr>
                <w:sz w:val="19"/>
                <w:szCs w:val="19"/>
              </w:rPr>
              <w:t xml:space="preserve">5-10 adhérents </w:t>
            </w:r>
            <w:r w:rsidRPr="00700034">
              <w:rPr>
                <w:b/>
                <w:sz w:val="19"/>
                <w:szCs w:val="19"/>
              </w:rPr>
              <w:t xml:space="preserve">porteurs du financement </w:t>
            </w:r>
            <w:r w:rsidRPr="00700034">
              <w:rPr>
                <w:sz w:val="19"/>
                <w:szCs w:val="19"/>
              </w:rPr>
              <w:t xml:space="preserve">avec répartition égale entre les adhérents, 40 MDT (max) par adhérent </w:t>
            </w:r>
          </w:p>
          <w:p w14:paraId="54F5A296" w14:textId="77777777" w:rsidR="00495238" w:rsidRDefault="00D00638">
            <w:pPr>
              <w:spacing w:after="40"/>
              <w:cnfStyle w:val="000000100000" w:firstRow="0" w:lastRow="0" w:firstColumn="0" w:lastColumn="0" w:oddVBand="0" w:evenVBand="0" w:oddHBand="1" w:evenHBand="0" w:firstRowFirstColumn="0" w:firstRowLastColumn="0" w:lastRowFirstColumn="0" w:lastRowLastColumn="0"/>
              <w:rPr>
                <w:sz w:val="19"/>
                <w:szCs w:val="19"/>
              </w:rPr>
            </w:pPr>
            <w:r w:rsidRPr="00700034">
              <w:rPr>
                <w:sz w:val="19"/>
                <w:szCs w:val="19"/>
              </w:rPr>
              <w:t>Jusqu'à 85% de l'investissement en équipements demandés.</w:t>
            </w:r>
          </w:p>
        </w:tc>
      </w:tr>
      <w:tr w:rsidR="000B52BB" w:rsidRPr="00700034" w14:paraId="6A80E4CF" w14:textId="77777777">
        <w:trPr>
          <w:trHeight w:val="390"/>
        </w:trPr>
        <w:tc>
          <w:tcPr>
            <w:cnfStyle w:val="001000000000" w:firstRow="0" w:lastRow="0" w:firstColumn="1" w:lastColumn="0" w:oddVBand="0" w:evenVBand="0" w:oddHBand="0" w:evenHBand="0" w:firstRowFirstColumn="0" w:firstRowLastColumn="0" w:lastRowFirstColumn="0" w:lastRowLastColumn="0"/>
            <w:tcW w:w="2967" w:type="dxa"/>
          </w:tcPr>
          <w:p w14:paraId="23C8A2EE" w14:textId="77777777" w:rsidR="00495238" w:rsidRDefault="00D00638">
            <w:pPr>
              <w:spacing w:after="40" w:line="240" w:lineRule="auto"/>
              <w:jc w:val="left"/>
              <w:rPr>
                <w:sz w:val="19"/>
                <w:szCs w:val="19"/>
              </w:rPr>
            </w:pPr>
            <w:r w:rsidRPr="00700034">
              <w:rPr>
                <w:sz w:val="19"/>
                <w:szCs w:val="19"/>
              </w:rPr>
              <w:t>Plafond</w:t>
            </w:r>
          </w:p>
        </w:tc>
        <w:tc>
          <w:tcPr>
            <w:tcW w:w="6667" w:type="dxa"/>
          </w:tcPr>
          <w:p w14:paraId="631F3A55" w14:textId="77777777" w:rsidR="00495238" w:rsidRDefault="00D00638">
            <w:pPr>
              <w:spacing w:after="40"/>
              <w:cnfStyle w:val="000000000000" w:firstRow="0" w:lastRow="0" w:firstColumn="0" w:lastColumn="0" w:oddVBand="0" w:evenVBand="0" w:oddHBand="0" w:evenHBand="0" w:firstRowFirstColumn="0" w:firstRowLastColumn="0" w:lastRowFirstColumn="0" w:lastRowLastColumn="0"/>
              <w:rPr>
                <w:sz w:val="19"/>
                <w:szCs w:val="19"/>
              </w:rPr>
            </w:pPr>
            <w:r w:rsidRPr="00700034">
              <w:rPr>
                <w:sz w:val="19"/>
                <w:szCs w:val="19"/>
              </w:rPr>
              <w:t>Partie Enda : 200 MDT (max)</w:t>
            </w:r>
          </w:p>
          <w:p w14:paraId="400DBFB9" w14:textId="426E3A4D" w:rsidR="00495238" w:rsidRDefault="00582897">
            <w:pPr>
              <w:spacing w:after="40"/>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 xml:space="preserve"> Ne dépasse pas </w:t>
            </w:r>
            <w:r w:rsidR="00D00638" w:rsidRPr="00700034">
              <w:rPr>
                <w:sz w:val="19"/>
                <w:szCs w:val="19"/>
              </w:rPr>
              <w:t xml:space="preserve">100 % des revenus de l'OPA </w:t>
            </w:r>
          </w:p>
        </w:tc>
      </w:tr>
      <w:tr w:rsidR="000B52BB" w:rsidRPr="00700034" w14:paraId="55FEDB86" w14:textId="7777777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67" w:type="dxa"/>
          </w:tcPr>
          <w:p w14:paraId="6DD6D9C6" w14:textId="77777777" w:rsidR="00495238" w:rsidRDefault="00D00638">
            <w:pPr>
              <w:spacing w:after="40" w:line="240" w:lineRule="auto"/>
              <w:jc w:val="left"/>
              <w:rPr>
                <w:sz w:val="19"/>
                <w:szCs w:val="19"/>
              </w:rPr>
            </w:pPr>
            <w:r w:rsidRPr="00700034">
              <w:rPr>
                <w:sz w:val="19"/>
                <w:szCs w:val="19"/>
              </w:rPr>
              <w:t>Garantie</w:t>
            </w:r>
          </w:p>
        </w:tc>
        <w:tc>
          <w:tcPr>
            <w:tcW w:w="6667" w:type="dxa"/>
          </w:tcPr>
          <w:p w14:paraId="666D7571" w14:textId="77777777" w:rsidR="00495238" w:rsidRDefault="00D00638">
            <w:pPr>
              <w:spacing w:after="40"/>
              <w:ind w:left="181" w:right="-179" w:hanging="198"/>
              <w:jc w:val="left"/>
              <w:cnfStyle w:val="000000100000" w:firstRow="0" w:lastRow="0" w:firstColumn="0" w:lastColumn="0" w:oddVBand="0" w:evenVBand="0" w:oddHBand="1" w:evenHBand="0" w:firstRowFirstColumn="0" w:firstRowLastColumn="0" w:lastRowFirstColumn="0" w:lastRowLastColumn="0"/>
              <w:rPr>
                <w:sz w:val="19"/>
                <w:szCs w:val="19"/>
              </w:rPr>
            </w:pPr>
            <w:r w:rsidRPr="00700034">
              <w:rPr>
                <w:sz w:val="19"/>
                <w:szCs w:val="19"/>
                <w:u w:val="single"/>
              </w:rPr>
              <w:t xml:space="preserve">Partie clients </w:t>
            </w:r>
            <w:r w:rsidRPr="00700034">
              <w:rPr>
                <w:sz w:val="19"/>
                <w:szCs w:val="19"/>
              </w:rPr>
              <w:t>: Garanties personnelles (anciens clients ou employés) en tant que garants ; garanties mutuelles, l'historique d'emprunt du client.</w:t>
            </w:r>
          </w:p>
          <w:p w14:paraId="103F5B47" w14:textId="77777777" w:rsidR="00495238" w:rsidRDefault="00D00638">
            <w:pPr>
              <w:spacing w:after="40"/>
              <w:ind w:left="198" w:right="-179" w:hanging="198"/>
              <w:jc w:val="left"/>
              <w:cnfStyle w:val="000000100000" w:firstRow="0" w:lastRow="0" w:firstColumn="0" w:lastColumn="0" w:oddVBand="0" w:evenVBand="0" w:oddHBand="1" w:evenHBand="0" w:firstRowFirstColumn="0" w:firstRowLastColumn="0" w:lastRowFirstColumn="0" w:lastRowLastColumn="0"/>
              <w:rPr>
                <w:sz w:val="19"/>
                <w:szCs w:val="19"/>
              </w:rPr>
            </w:pPr>
            <w:r w:rsidRPr="00700034">
              <w:rPr>
                <w:sz w:val="19"/>
                <w:szCs w:val="19"/>
                <w:u w:val="single"/>
              </w:rPr>
              <w:t xml:space="preserve">Partie OPA : </w:t>
            </w:r>
            <w:r w:rsidRPr="003566C3">
              <w:rPr>
                <w:b/>
                <w:bCs/>
                <w:sz w:val="19"/>
                <w:szCs w:val="19"/>
              </w:rPr>
              <w:t>caution personnelle et solidaire</w:t>
            </w:r>
            <w:r w:rsidRPr="00700034">
              <w:rPr>
                <w:sz w:val="19"/>
                <w:szCs w:val="19"/>
              </w:rPr>
              <w:t>, gage sur le matériel.</w:t>
            </w:r>
          </w:p>
          <w:p w14:paraId="699D637F" w14:textId="77777777" w:rsidR="00495238" w:rsidRDefault="00D00638">
            <w:pPr>
              <w:spacing w:after="40"/>
              <w:ind w:left="198" w:right="-179" w:hanging="198"/>
              <w:jc w:val="left"/>
              <w:cnfStyle w:val="000000100000" w:firstRow="0" w:lastRow="0" w:firstColumn="0" w:lastColumn="0" w:oddVBand="0" w:evenVBand="0" w:oddHBand="1" w:evenHBand="0" w:firstRowFirstColumn="0" w:firstRowLastColumn="0" w:lastRowFirstColumn="0" w:lastRowLastColumn="0"/>
              <w:rPr>
                <w:sz w:val="19"/>
                <w:szCs w:val="19"/>
              </w:rPr>
            </w:pPr>
            <w:r w:rsidRPr="00700034">
              <w:rPr>
                <w:sz w:val="19"/>
                <w:szCs w:val="19"/>
                <w:u w:val="single"/>
              </w:rPr>
              <w:t xml:space="preserve">Garantie Cofinancement : </w:t>
            </w:r>
            <w:r w:rsidRPr="00700034">
              <w:rPr>
                <w:sz w:val="19"/>
                <w:szCs w:val="19"/>
              </w:rPr>
              <w:t>les emprunteurs seront en responsabilités communes vis-à-vis des prêteurs.</w:t>
            </w:r>
          </w:p>
        </w:tc>
      </w:tr>
    </w:tbl>
    <w:p w14:paraId="42DF8924" w14:textId="0C06E386" w:rsidR="000B52BB" w:rsidRPr="00C545FA" w:rsidRDefault="000B52BB" w:rsidP="000B52BB">
      <w:pPr>
        <w:pStyle w:val="Paragraphedeliste"/>
        <w:spacing w:after="0" w:line="240" w:lineRule="auto"/>
        <w:ind w:left="720"/>
        <w:contextualSpacing/>
        <w:jc w:val="left"/>
        <w:rPr>
          <w:lang w:val="fr-FR"/>
        </w:rPr>
      </w:pPr>
    </w:p>
    <w:p w14:paraId="149D068B" w14:textId="19BF864C" w:rsidR="000B52BB" w:rsidRPr="00740F87" w:rsidRDefault="000B52BB" w:rsidP="000B52BB">
      <w:pPr>
        <w:pStyle w:val="Paragraphedeliste"/>
        <w:spacing w:after="0" w:line="240" w:lineRule="auto"/>
        <w:ind w:left="720"/>
        <w:contextualSpacing/>
        <w:jc w:val="center"/>
        <w:rPr>
          <w:b/>
          <w:color w:val="0070C0"/>
          <w:lang w:val="fr-FR"/>
        </w:rPr>
      </w:pPr>
    </w:p>
    <w:p w14:paraId="07F69990" w14:textId="77777777" w:rsidR="000B52BB" w:rsidRPr="009432BA" w:rsidRDefault="000B52BB" w:rsidP="000B52BB">
      <w:pPr>
        <w:pStyle w:val="Paragraphedeliste"/>
        <w:spacing w:after="0" w:line="240" w:lineRule="auto"/>
        <w:ind w:left="720"/>
        <w:contextualSpacing/>
        <w:jc w:val="left"/>
        <w:rPr>
          <w:b/>
          <w:color w:val="0070C0"/>
          <w:lang w:val="fr-FR"/>
        </w:rPr>
      </w:pPr>
    </w:p>
    <w:p w14:paraId="084F2271" w14:textId="06DDFA81" w:rsidR="00495238" w:rsidRDefault="00344C06" w:rsidP="00D00638">
      <w:pPr>
        <w:pStyle w:val="Paragraphedeliste"/>
        <w:spacing w:after="0"/>
        <w:ind w:left="284"/>
        <w:contextualSpacing/>
        <w:jc w:val="left"/>
        <w:rPr>
          <w:lang w:val="fr-FR"/>
        </w:rPr>
      </w:pPr>
      <w:r>
        <w:rPr>
          <w:lang w:val="fr-FR"/>
        </w:rPr>
        <w:t xml:space="preserve"> </w:t>
      </w:r>
      <w:r w:rsidR="00A2624A">
        <w:rPr>
          <w:lang w:val="fr-FR"/>
        </w:rPr>
        <w:t>LOGOS</w:t>
      </w:r>
      <w:r w:rsidR="00046CCD">
        <w:rPr>
          <w:lang w:val="fr-FR"/>
        </w:rPr>
        <w:t xml:space="preserve"> supplémentaires</w:t>
      </w:r>
      <w:r w:rsidR="00A2624A">
        <w:rPr>
          <w:lang w:val="fr-FR"/>
        </w:rPr>
        <w:t xml:space="preserve"> à utiliser :</w:t>
      </w:r>
    </w:p>
    <w:p w14:paraId="73CDE6E6" w14:textId="77777777" w:rsidR="00A2624A" w:rsidRDefault="00A2624A" w:rsidP="00D00638">
      <w:pPr>
        <w:pStyle w:val="Paragraphedeliste"/>
        <w:spacing w:after="0"/>
        <w:ind w:left="284"/>
        <w:contextualSpacing/>
        <w:jc w:val="left"/>
        <w:rPr>
          <w:lang w:val="fr-FR"/>
        </w:rPr>
      </w:pPr>
    </w:p>
    <w:p w14:paraId="10085B1F" w14:textId="2D35BD2E" w:rsidR="00A2624A" w:rsidRDefault="001D5BC7" w:rsidP="00D00638">
      <w:pPr>
        <w:pStyle w:val="Paragraphedeliste"/>
        <w:spacing w:after="0"/>
        <w:ind w:left="284"/>
        <w:contextualSpacing/>
        <w:jc w:val="left"/>
        <w:rPr>
          <w:lang w:val="fr-FR"/>
        </w:rPr>
      </w:pPr>
      <w:r>
        <w:rPr>
          <w:noProof/>
          <w:lang w:val="fr-FR"/>
        </w:rPr>
        <w:drawing>
          <wp:inline distT="0" distB="0" distL="0" distR="0" wp14:anchorId="1E3F2293" wp14:editId="2C6EAED4">
            <wp:extent cx="2352675" cy="2324100"/>
            <wp:effectExtent l="0" t="0" r="9525" b="0"/>
            <wp:docPr id="1533608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2324100"/>
                    </a:xfrm>
                    <a:prstGeom prst="rect">
                      <a:avLst/>
                    </a:prstGeom>
                    <a:noFill/>
                  </pic:spPr>
                </pic:pic>
              </a:graphicData>
            </a:graphic>
          </wp:inline>
        </w:drawing>
      </w:r>
    </w:p>
    <w:sectPr w:rsidR="00A2624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ABEE" w14:textId="77777777" w:rsidR="00132E25" w:rsidRDefault="00132E25" w:rsidP="00A6004B">
      <w:pPr>
        <w:spacing w:after="0" w:line="240" w:lineRule="auto"/>
      </w:pPr>
      <w:r>
        <w:separator/>
      </w:r>
    </w:p>
  </w:endnote>
  <w:endnote w:type="continuationSeparator" w:id="0">
    <w:p w14:paraId="3E3825D7" w14:textId="77777777" w:rsidR="00132E25" w:rsidRDefault="00132E25" w:rsidP="00A6004B">
      <w:pPr>
        <w:spacing w:after="0" w:line="240" w:lineRule="auto"/>
      </w:pPr>
      <w:r>
        <w:continuationSeparator/>
      </w:r>
    </w:p>
  </w:endnote>
  <w:endnote w:type="continuationNotice" w:id="1">
    <w:p w14:paraId="1584982E" w14:textId="77777777" w:rsidR="00132E25" w:rsidRDefault="00132E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3959B" w14:textId="77777777" w:rsidR="00132E25" w:rsidRDefault="00132E25" w:rsidP="00A6004B">
      <w:pPr>
        <w:spacing w:after="0" w:line="240" w:lineRule="auto"/>
      </w:pPr>
      <w:r>
        <w:separator/>
      </w:r>
    </w:p>
  </w:footnote>
  <w:footnote w:type="continuationSeparator" w:id="0">
    <w:p w14:paraId="5FC63971" w14:textId="77777777" w:rsidR="00132E25" w:rsidRDefault="00132E25" w:rsidP="00A6004B">
      <w:pPr>
        <w:spacing w:after="0" w:line="240" w:lineRule="auto"/>
      </w:pPr>
      <w:r>
        <w:continuationSeparator/>
      </w:r>
    </w:p>
  </w:footnote>
  <w:footnote w:type="continuationNotice" w:id="1">
    <w:p w14:paraId="75A9FFFE" w14:textId="77777777" w:rsidR="00132E25" w:rsidRDefault="00132E25">
      <w:pPr>
        <w:spacing w:after="0" w:line="240" w:lineRule="auto"/>
      </w:pPr>
    </w:p>
  </w:footnote>
  <w:footnote w:id="2">
    <w:p w14:paraId="3B47848F" w14:textId="2C3155CD" w:rsidR="00232433" w:rsidRDefault="00232433">
      <w:pPr>
        <w:pStyle w:val="Notedebasdepage"/>
      </w:pPr>
      <w:r>
        <w:rPr>
          <w:rStyle w:val="Appelnotedebasdep"/>
        </w:rPr>
        <w:footnoteRef/>
      </w:r>
      <w:r>
        <w:t xml:space="preserve"> « </w:t>
      </w:r>
      <w:proofErr w:type="spellStart"/>
      <w:r>
        <w:t>Agri’Group</w:t>
      </w:r>
      <w:proofErr w:type="spellEnd"/>
      <w:r>
        <w:t> » est le nom commercial</w:t>
      </w:r>
      <w:r w:rsidR="00F96C6D">
        <w:t xml:space="preserve"> du mécanisme de financement collectif</w:t>
      </w:r>
    </w:p>
  </w:footnote>
  <w:footnote w:id="3">
    <w:p w14:paraId="4A96372B" w14:textId="2BC0F6DC" w:rsidR="004E1177" w:rsidRDefault="004E1177">
      <w:pPr>
        <w:pStyle w:val="Notedebasdepage"/>
      </w:pPr>
      <w:r>
        <w:rPr>
          <w:rStyle w:val="Appelnotedebasdep"/>
        </w:rPr>
        <w:footnoteRef/>
      </w:r>
      <w:r>
        <w:t xml:space="preserve"> SMSA : Société Mutuelle des Services Agricoles </w:t>
      </w:r>
    </w:p>
  </w:footnote>
  <w:footnote w:id="4">
    <w:p w14:paraId="4F4AFEA1" w14:textId="51F269DA" w:rsidR="004E1177" w:rsidRDefault="004E1177">
      <w:pPr>
        <w:pStyle w:val="Notedebasdepage"/>
      </w:pPr>
      <w:r>
        <w:rPr>
          <w:rStyle w:val="Appelnotedebasdep"/>
        </w:rPr>
        <w:footnoteRef/>
      </w:r>
      <w:r>
        <w:t xml:space="preserve"> GDA : Groupement de Développement Agricole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6E3C"/>
    <w:multiLevelType w:val="hybridMultilevel"/>
    <w:tmpl w:val="687A921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154E6F"/>
    <w:multiLevelType w:val="hybridMultilevel"/>
    <w:tmpl w:val="E830380A"/>
    <w:lvl w:ilvl="0" w:tplc="ABC8AA5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904E2E"/>
    <w:multiLevelType w:val="hybridMultilevel"/>
    <w:tmpl w:val="106C66B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B93D4E"/>
    <w:multiLevelType w:val="hybridMultilevel"/>
    <w:tmpl w:val="17AED42A"/>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90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9BB30ED"/>
    <w:multiLevelType w:val="hybridMultilevel"/>
    <w:tmpl w:val="600E5F3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6FC766BD"/>
    <w:multiLevelType w:val="hybridMultilevel"/>
    <w:tmpl w:val="685E753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38231A"/>
    <w:multiLevelType w:val="hybridMultilevel"/>
    <w:tmpl w:val="9112D6AA"/>
    <w:lvl w:ilvl="0" w:tplc="743EF3C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375A14"/>
    <w:multiLevelType w:val="hybridMultilevel"/>
    <w:tmpl w:val="F3E41E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91300495">
    <w:abstractNumId w:val="2"/>
  </w:num>
  <w:num w:numId="2" w16cid:durableId="68042273">
    <w:abstractNumId w:val="5"/>
  </w:num>
  <w:num w:numId="3" w16cid:durableId="134761404">
    <w:abstractNumId w:val="0"/>
  </w:num>
  <w:num w:numId="4" w16cid:durableId="133107637">
    <w:abstractNumId w:val="6"/>
  </w:num>
  <w:num w:numId="5" w16cid:durableId="684481261">
    <w:abstractNumId w:val="1"/>
  </w:num>
  <w:num w:numId="6" w16cid:durableId="1685277078">
    <w:abstractNumId w:val="1"/>
  </w:num>
  <w:num w:numId="7" w16cid:durableId="196627390">
    <w:abstractNumId w:val="3"/>
  </w:num>
  <w:num w:numId="8" w16cid:durableId="583224586">
    <w:abstractNumId w:val="4"/>
  </w:num>
  <w:num w:numId="9" w16cid:durableId="31081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fr-FR" w:vendorID="64" w:dllVersion="0"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2BB"/>
    <w:rsid w:val="000035A3"/>
    <w:rsid w:val="00013DEE"/>
    <w:rsid w:val="00046CCD"/>
    <w:rsid w:val="00093E96"/>
    <w:rsid w:val="000B52BB"/>
    <w:rsid w:val="000B645D"/>
    <w:rsid w:val="000E04F7"/>
    <w:rsid w:val="000E3E33"/>
    <w:rsid w:val="000F6A6E"/>
    <w:rsid w:val="00122E69"/>
    <w:rsid w:val="00132E25"/>
    <w:rsid w:val="001A3AA8"/>
    <w:rsid w:val="001B4095"/>
    <w:rsid w:val="001C638B"/>
    <w:rsid w:val="001D5BC7"/>
    <w:rsid w:val="001D6E22"/>
    <w:rsid w:val="00232433"/>
    <w:rsid w:val="00234887"/>
    <w:rsid w:val="002375CC"/>
    <w:rsid w:val="00242AA2"/>
    <w:rsid w:val="00244A6F"/>
    <w:rsid w:val="00274DCE"/>
    <w:rsid w:val="00292D95"/>
    <w:rsid w:val="00295AC1"/>
    <w:rsid w:val="002973AD"/>
    <w:rsid w:val="002B5962"/>
    <w:rsid w:val="002F6A50"/>
    <w:rsid w:val="003142EA"/>
    <w:rsid w:val="00317726"/>
    <w:rsid w:val="00336380"/>
    <w:rsid w:val="00342CA1"/>
    <w:rsid w:val="00344C06"/>
    <w:rsid w:val="003566C3"/>
    <w:rsid w:val="00373799"/>
    <w:rsid w:val="003A6323"/>
    <w:rsid w:val="003B1F25"/>
    <w:rsid w:val="003E32A7"/>
    <w:rsid w:val="003F652D"/>
    <w:rsid w:val="00401080"/>
    <w:rsid w:val="00432B46"/>
    <w:rsid w:val="00450C0C"/>
    <w:rsid w:val="00464D03"/>
    <w:rsid w:val="004860F1"/>
    <w:rsid w:val="0048764A"/>
    <w:rsid w:val="00495238"/>
    <w:rsid w:val="004A3629"/>
    <w:rsid w:val="004E1177"/>
    <w:rsid w:val="00525384"/>
    <w:rsid w:val="00527302"/>
    <w:rsid w:val="005707C7"/>
    <w:rsid w:val="0057145E"/>
    <w:rsid w:val="00574DDA"/>
    <w:rsid w:val="00582897"/>
    <w:rsid w:val="00597001"/>
    <w:rsid w:val="005A55B9"/>
    <w:rsid w:val="005B16AC"/>
    <w:rsid w:val="005F0518"/>
    <w:rsid w:val="00605B87"/>
    <w:rsid w:val="00607BA3"/>
    <w:rsid w:val="00636BF5"/>
    <w:rsid w:val="00636DC5"/>
    <w:rsid w:val="006576C1"/>
    <w:rsid w:val="00661C9F"/>
    <w:rsid w:val="006A6372"/>
    <w:rsid w:val="006B06F0"/>
    <w:rsid w:val="006D13C9"/>
    <w:rsid w:val="006F0C8F"/>
    <w:rsid w:val="00702EAB"/>
    <w:rsid w:val="00785FEB"/>
    <w:rsid w:val="00794302"/>
    <w:rsid w:val="00795708"/>
    <w:rsid w:val="007C67E3"/>
    <w:rsid w:val="007E2A7E"/>
    <w:rsid w:val="007F3208"/>
    <w:rsid w:val="00811945"/>
    <w:rsid w:val="00821967"/>
    <w:rsid w:val="00825D1E"/>
    <w:rsid w:val="00843E68"/>
    <w:rsid w:val="008546F5"/>
    <w:rsid w:val="00863562"/>
    <w:rsid w:val="008A0EBB"/>
    <w:rsid w:val="008A61F2"/>
    <w:rsid w:val="008A77D8"/>
    <w:rsid w:val="008F564C"/>
    <w:rsid w:val="008F6B6B"/>
    <w:rsid w:val="00905A97"/>
    <w:rsid w:val="00923B43"/>
    <w:rsid w:val="00936EAA"/>
    <w:rsid w:val="0095758A"/>
    <w:rsid w:val="00973D73"/>
    <w:rsid w:val="009969F3"/>
    <w:rsid w:val="00A06C1C"/>
    <w:rsid w:val="00A119D9"/>
    <w:rsid w:val="00A2624A"/>
    <w:rsid w:val="00A52508"/>
    <w:rsid w:val="00A6004B"/>
    <w:rsid w:val="00A61F1F"/>
    <w:rsid w:val="00A62B5F"/>
    <w:rsid w:val="00A84F3E"/>
    <w:rsid w:val="00A86B41"/>
    <w:rsid w:val="00AC0816"/>
    <w:rsid w:val="00AC67F4"/>
    <w:rsid w:val="00B47FCC"/>
    <w:rsid w:val="00B777B8"/>
    <w:rsid w:val="00B80BBC"/>
    <w:rsid w:val="00B976D7"/>
    <w:rsid w:val="00BC25D7"/>
    <w:rsid w:val="00BD0DD2"/>
    <w:rsid w:val="00BE1B98"/>
    <w:rsid w:val="00C208CD"/>
    <w:rsid w:val="00C2433A"/>
    <w:rsid w:val="00C55439"/>
    <w:rsid w:val="00C57FCF"/>
    <w:rsid w:val="00CA149D"/>
    <w:rsid w:val="00CA1FC9"/>
    <w:rsid w:val="00CC5408"/>
    <w:rsid w:val="00CF40C3"/>
    <w:rsid w:val="00D00638"/>
    <w:rsid w:val="00D11558"/>
    <w:rsid w:val="00D25588"/>
    <w:rsid w:val="00D32512"/>
    <w:rsid w:val="00D37BFF"/>
    <w:rsid w:val="00D433CA"/>
    <w:rsid w:val="00D5278C"/>
    <w:rsid w:val="00D722F3"/>
    <w:rsid w:val="00D72C9D"/>
    <w:rsid w:val="00D8647C"/>
    <w:rsid w:val="00DB652D"/>
    <w:rsid w:val="00DD7594"/>
    <w:rsid w:val="00DE0F4E"/>
    <w:rsid w:val="00DE26C0"/>
    <w:rsid w:val="00DE6221"/>
    <w:rsid w:val="00E07448"/>
    <w:rsid w:val="00E07D94"/>
    <w:rsid w:val="00E244D9"/>
    <w:rsid w:val="00E55B17"/>
    <w:rsid w:val="00E655FA"/>
    <w:rsid w:val="00E738E2"/>
    <w:rsid w:val="00E76DFB"/>
    <w:rsid w:val="00EC61BB"/>
    <w:rsid w:val="00F02E3E"/>
    <w:rsid w:val="00F1174D"/>
    <w:rsid w:val="00F179B8"/>
    <w:rsid w:val="00F23CEF"/>
    <w:rsid w:val="00F43FF0"/>
    <w:rsid w:val="00F54679"/>
    <w:rsid w:val="00F56BBE"/>
    <w:rsid w:val="00F60E4B"/>
    <w:rsid w:val="00F645BD"/>
    <w:rsid w:val="00F72FD7"/>
    <w:rsid w:val="00F87723"/>
    <w:rsid w:val="00F94844"/>
    <w:rsid w:val="00F96C6D"/>
    <w:rsid w:val="00F97493"/>
    <w:rsid w:val="00FA2F23"/>
    <w:rsid w:val="00FB5C74"/>
    <w:rsid w:val="00FB7914"/>
    <w:rsid w:val="00FE7E0C"/>
    <w:rsid w:val="00FF5A4D"/>
    <w:rsid w:val="128E4193"/>
    <w:rsid w:val="1996BBDC"/>
    <w:rsid w:val="27706A3B"/>
    <w:rsid w:val="5AB660C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74E4"/>
  <w15:chartTrackingRefBased/>
  <w15:docId w15:val="{D3864EEB-DA57-4338-BDD2-A38E7E4F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2BB"/>
    <w:pPr>
      <w:spacing w:after="120" w:line="276" w:lineRule="auto"/>
      <w:jc w:val="both"/>
    </w:pPr>
    <w:rPr>
      <w:rFonts w:ascii="Arial" w:eastAsia="Calibri" w:hAnsi="Arial" w:cs="Arial"/>
      <w:lang w:val="fr-FR"/>
    </w:rPr>
  </w:style>
  <w:style w:type="paragraph" w:styleId="Titre1">
    <w:name w:val="heading 1"/>
    <w:basedOn w:val="Normal"/>
    <w:next w:val="Normal"/>
    <w:link w:val="Titre1Car"/>
    <w:uiPriority w:val="9"/>
    <w:qFormat/>
    <w:rsid w:val="00BC25D7"/>
    <w:pPr>
      <w:keepNext/>
      <w:keepLines/>
      <w:spacing w:before="240" w:after="0"/>
      <w:outlineLvl w:val="0"/>
    </w:pPr>
    <w:rPr>
      <w:rFonts w:asciiTheme="majorHAnsi" w:eastAsiaTheme="majorEastAsia" w:hAnsiTheme="majorHAnsi" w:cstheme="majorBidi"/>
      <w:color w:val="2E74B5" w:themeColor="accent1" w:themeShade="BF"/>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Indent Paragraph,Heading 2_sj"/>
    <w:basedOn w:val="Normal"/>
    <w:link w:val="ParagraphedelisteCar"/>
    <w:uiPriority w:val="34"/>
    <w:qFormat/>
    <w:rsid w:val="000B52BB"/>
    <w:pPr>
      <w:ind w:left="709"/>
    </w:pPr>
    <w:rPr>
      <w:lang w:val="x-none"/>
    </w:rPr>
  </w:style>
  <w:style w:type="character" w:customStyle="1" w:styleId="ParagraphedelisteCar">
    <w:name w:val="Paragraphe de liste Car"/>
    <w:aliases w:val="references Car,Indent Paragraph Car,Heading 2_sj Car"/>
    <w:link w:val="Paragraphedeliste"/>
    <w:uiPriority w:val="34"/>
    <w:rsid w:val="000B52BB"/>
    <w:rPr>
      <w:rFonts w:ascii="Arial" w:eastAsia="Calibri" w:hAnsi="Arial" w:cs="Arial"/>
      <w:lang w:val="x-none"/>
    </w:rPr>
  </w:style>
  <w:style w:type="paragraph" w:styleId="Lgende">
    <w:name w:val="caption"/>
    <w:basedOn w:val="Normal"/>
    <w:next w:val="Normal"/>
    <w:uiPriority w:val="35"/>
    <w:unhideWhenUsed/>
    <w:qFormat/>
    <w:rsid w:val="000B52BB"/>
    <w:pPr>
      <w:keepNext/>
      <w:spacing w:before="120" w:line="240" w:lineRule="auto"/>
      <w:jc w:val="center"/>
    </w:pPr>
    <w:rPr>
      <w:b/>
      <w:bCs/>
      <w:i/>
      <w:color w:val="7F7F7F" w:themeColor="text1" w:themeTint="80"/>
    </w:rPr>
  </w:style>
  <w:style w:type="table" w:styleId="Listeclaire-Accent2">
    <w:name w:val="Light List Accent 2"/>
    <w:basedOn w:val="TableauNormal"/>
    <w:uiPriority w:val="61"/>
    <w:rsid w:val="000B52BB"/>
    <w:pPr>
      <w:spacing w:after="0" w:line="240" w:lineRule="auto"/>
    </w:pPr>
    <w:rPr>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Grilledutableau">
    <w:name w:val="Table Grid"/>
    <w:basedOn w:val="TableauNormal"/>
    <w:uiPriority w:val="39"/>
    <w:rsid w:val="000B52BB"/>
    <w:pPr>
      <w:spacing w:after="0" w:line="240" w:lineRule="auto"/>
    </w:pPr>
    <w:rPr>
      <w:rFonts w:ascii="Arial" w:eastAsia="Times New Roman" w:hAnsi="Arial" w:cs="Arial"/>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C25D7"/>
    <w:rPr>
      <w:rFonts w:asciiTheme="majorHAnsi" w:eastAsiaTheme="majorEastAsia" w:hAnsiTheme="majorHAnsi" w:cstheme="majorBidi"/>
      <w:color w:val="2E74B5" w:themeColor="accent1" w:themeShade="BF"/>
      <w:sz w:val="30"/>
      <w:szCs w:val="30"/>
      <w:lang w:val="fr-FR"/>
    </w:rPr>
  </w:style>
  <w:style w:type="paragraph" w:styleId="Rvision">
    <w:name w:val="Revision"/>
    <w:hidden/>
    <w:uiPriority w:val="99"/>
    <w:semiHidden/>
    <w:rsid w:val="00FF5A4D"/>
    <w:pPr>
      <w:spacing w:after="0" w:line="240" w:lineRule="auto"/>
    </w:pPr>
    <w:rPr>
      <w:rFonts w:ascii="Arial" w:eastAsia="Calibri" w:hAnsi="Arial" w:cs="Arial"/>
      <w:lang w:val="fr-FR"/>
    </w:rPr>
  </w:style>
  <w:style w:type="paragraph" w:styleId="NormalWeb">
    <w:name w:val="Normal (Web)"/>
    <w:basedOn w:val="Normal"/>
    <w:uiPriority w:val="99"/>
    <w:semiHidden/>
    <w:unhideWhenUsed/>
    <w:rsid w:val="003566C3"/>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En-tte">
    <w:name w:val="header"/>
    <w:basedOn w:val="Normal"/>
    <w:link w:val="En-tteCar"/>
    <w:uiPriority w:val="99"/>
    <w:unhideWhenUsed/>
    <w:rsid w:val="00A6004B"/>
    <w:pPr>
      <w:tabs>
        <w:tab w:val="center" w:pos="4680"/>
        <w:tab w:val="right" w:pos="9360"/>
      </w:tabs>
      <w:spacing w:after="0" w:line="240" w:lineRule="auto"/>
    </w:pPr>
  </w:style>
  <w:style w:type="character" w:customStyle="1" w:styleId="En-tteCar">
    <w:name w:val="En-tête Car"/>
    <w:basedOn w:val="Policepardfaut"/>
    <w:link w:val="En-tte"/>
    <w:uiPriority w:val="99"/>
    <w:rsid w:val="00A6004B"/>
    <w:rPr>
      <w:rFonts w:ascii="Arial" w:eastAsia="Calibri" w:hAnsi="Arial" w:cs="Arial"/>
      <w:lang w:val="fr-FR"/>
    </w:rPr>
  </w:style>
  <w:style w:type="paragraph" w:styleId="Pieddepage">
    <w:name w:val="footer"/>
    <w:basedOn w:val="Normal"/>
    <w:link w:val="PieddepageCar"/>
    <w:uiPriority w:val="99"/>
    <w:unhideWhenUsed/>
    <w:rsid w:val="00A6004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6004B"/>
    <w:rPr>
      <w:rFonts w:ascii="Arial" w:eastAsia="Calibri" w:hAnsi="Arial" w:cs="Arial"/>
      <w:lang w:val="fr-FR"/>
    </w:rPr>
  </w:style>
  <w:style w:type="character" w:styleId="Marquedecommentaire">
    <w:name w:val="annotation reference"/>
    <w:basedOn w:val="Policepardfaut"/>
    <w:uiPriority w:val="99"/>
    <w:semiHidden/>
    <w:unhideWhenUsed/>
    <w:rsid w:val="00E76DFB"/>
    <w:rPr>
      <w:sz w:val="16"/>
      <w:szCs w:val="16"/>
    </w:rPr>
  </w:style>
  <w:style w:type="paragraph" w:styleId="Commentaire">
    <w:name w:val="annotation text"/>
    <w:basedOn w:val="Normal"/>
    <w:link w:val="CommentaireCar"/>
    <w:uiPriority w:val="99"/>
    <w:unhideWhenUsed/>
    <w:rsid w:val="00E76DFB"/>
    <w:pPr>
      <w:spacing w:line="240" w:lineRule="auto"/>
    </w:pPr>
    <w:rPr>
      <w:sz w:val="20"/>
      <w:szCs w:val="20"/>
    </w:rPr>
  </w:style>
  <w:style w:type="character" w:customStyle="1" w:styleId="CommentaireCar">
    <w:name w:val="Commentaire Car"/>
    <w:basedOn w:val="Policepardfaut"/>
    <w:link w:val="Commentaire"/>
    <w:uiPriority w:val="99"/>
    <w:rsid w:val="00E76DFB"/>
    <w:rPr>
      <w:rFonts w:ascii="Arial" w:eastAsia="Calibri"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E76DFB"/>
    <w:rPr>
      <w:b/>
      <w:bCs/>
    </w:rPr>
  </w:style>
  <w:style w:type="character" w:customStyle="1" w:styleId="ObjetducommentaireCar">
    <w:name w:val="Objet du commentaire Car"/>
    <w:basedOn w:val="CommentaireCar"/>
    <w:link w:val="Objetducommentaire"/>
    <w:uiPriority w:val="99"/>
    <w:semiHidden/>
    <w:rsid w:val="00E76DFB"/>
    <w:rPr>
      <w:rFonts w:ascii="Arial" w:eastAsia="Calibri" w:hAnsi="Arial" w:cs="Arial"/>
      <w:b/>
      <w:bCs/>
      <w:sz w:val="20"/>
      <w:szCs w:val="20"/>
      <w:lang w:val="fr-FR"/>
    </w:rPr>
  </w:style>
  <w:style w:type="paragraph" w:styleId="Notedebasdepage">
    <w:name w:val="footnote text"/>
    <w:basedOn w:val="Normal"/>
    <w:link w:val="NotedebasdepageCar"/>
    <w:uiPriority w:val="99"/>
    <w:semiHidden/>
    <w:unhideWhenUsed/>
    <w:rsid w:val="0023243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32433"/>
    <w:rPr>
      <w:rFonts w:ascii="Arial" w:eastAsia="Calibri" w:hAnsi="Arial" w:cs="Arial"/>
      <w:sz w:val="20"/>
      <w:szCs w:val="20"/>
      <w:lang w:val="fr-FR"/>
    </w:rPr>
  </w:style>
  <w:style w:type="character" w:styleId="Appelnotedebasdep">
    <w:name w:val="footnote reference"/>
    <w:basedOn w:val="Policepardfaut"/>
    <w:uiPriority w:val="99"/>
    <w:semiHidden/>
    <w:unhideWhenUsed/>
    <w:rsid w:val="00232433"/>
    <w:rPr>
      <w:vertAlign w:val="superscript"/>
    </w:rPr>
  </w:style>
  <w:style w:type="paragraph" w:styleId="Notedefin">
    <w:name w:val="endnote text"/>
    <w:basedOn w:val="Normal"/>
    <w:link w:val="NotedefinCar"/>
    <w:uiPriority w:val="99"/>
    <w:semiHidden/>
    <w:unhideWhenUsed/>
    <w:rsid w:val="00122E69"/>
    <w:pPr>
      <w:spacing w:after="0" w:line="240" w:lineRule="auto"/>
    </w:pPr>
    <w:rPr>
      <w:sz w:val="20"/>
      <w:szCs w:val="20"/>
    </w:rPr>
  </w:style>
  <w:style w:type="character" w:customStyle="1" w:styleId="NotedefinCar">
    <w:name w:val="Note de fin Car"/>
    <w:basedOn w:val="Policepardfaut"/>
    <w:link w:val="Notedefin"/>
    <w:uiPriority w:val="99"/>
    <w:semiHidden/>
    <w:rsid w:val="00122E69"/>
    <w:rPr>
      <w:rFonts w:ascii="Arial" w:eastAsia="Calibri" w:hAnsi="Arial" w:cs="Arial"/>
      <w:sz w:val="20"/>
      <w:szCs w:val="20"/>
      <w:lang w:val="fr-FR"/>
    </w:rPr>
  </w:style>
  <w:style w:type="character" w:styleId="Appeldenotedefin">
    <w:name w:val="endnote reference"/>
    <w:basedOn w:val="Policepardfaut"/>
    <w:uiPriority w:val="99"/>
    <w:semiHidden/>
    <w:unhideWhenUsed/>
    <w:rsid w:val="00122E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8007">
      <w:bodyDiv w:val="1"/>
      <w:marLeft w:val="0"/>
      <w:marRight w:val="0"/>
      <w:marTop w:val="0"/>
      <w:marBottom w:val="0"/>
      <w:divBdr>
        <w:top w:val="none" w:sz="0" w:space="0" w:color="auto"/>
        <w:left w:val="none" w:sz="0" w:space="0" w:color="auto"/>
        <w:bottom w:val="none" w:sz="0" w:space="0" w:color="auto"/>
        <w:right w:val="none" w:sz="0" w:space="0" w:color="auto"/>
      </w:divBdr>
    </w:div>
    <w:div w:id="230971873">
      <w:bodyDiv w:val="1"/>
      <w:marLeft w:val="0"/>
      <w:marRight w:val="0"/>
      <w:marTop w:val="0"/>
      <w:marBottom w:val="0"/>
      <w:divBdr>
        <w:top w:val="none" w:sz="0" w:space="0" w:color="auto"/>
        <w:left w:val="none" w:sz="0" w:space="0" w:color="auto"/>
        <w:bottom w:val="none" w:sz="0" w:space="0" w:color="auto"/>
        <w:right w:val="none" w:sz="0" w:space="0" w:color="auto"/>
      </w:divBdr>
    </w:div>
    <w:div w:id="1216627497">
      <w:bodyDiv w:val="1"/>
      <w:marLeft w:val="0"/>
      <w:marRight w:val="0"/>
      <w:marTop w:val="0"/>
      <w:marBottom w:val="0"/>
      <w:divBdr>
        <w:top w:val="none" w:sz="0" w:space="0" w:color="auto"/>
        <w:left w:val="none" w:sz="0" w:space="0" w:color="auto"/>
        <w:bottom w:val="none" w:sz="0" w:space="0" w:color="auto"/>
        <w:right w:val="none" w:sz="0" w:space="0" w:color="auto"/>
      </w:divBdr>
    </w:div>
    <w:div w:id="1261991367">
      <w:bodyDiv w:val="1"/>
      <w:marLeft w:val="0"/>
      <w:marRight w:val="0"/>
      <w:marTop w:val="0"/>
      <w:marBottom w:val="0"/>
      <w:divBdr>
        <w:top w:val="none" w:sz="0" w:space="0" w:color="auto"/>
        <w:left w:val="none" w:sz="0" w:space="0" w:color="auto"/>
        <w:bottom w:val="none" w:sz="0" w:space="0" w:color="auto"/>
        <w:right w:val="none" w:sz="0" w:space="0" w:color="auto"/>
      </w:divBdr>
    </w:div>
    <w:div w:id="1903058516">
      <w:bodyDiv w:val="1"/>
      <w:marLeft w:val="0"/>
      <w:marRight w:val="0"/>
      <w:marTop w:val="0"/>
      <w:marBottom w:val="0"/>
      <w:divBdr>
        <w:top w:val="none" w:sz="0" w:space="0" w:color="auto"/>
        <w:left w:val="none" w:sz="0" w:space="0" w:color="auto"/>
        <w:bottom w:val="none" w:sz="0" w:space="0" w:color="auto"/>
        <w:right w:val="none" w:sz="0" w:space="0" w:color="auto"/>
      </w:divBdr>
    </w:div>
    <w:div w:id="2022124932">
      <w:bodyDiv w:val="1"/>
      <w:marLeft w:val="0"/>
      <w:marRight w:val="0"/>
      <w:marTop w:val="0"/>
      <w:marBottom w:val="0"/>
      <w:divBdr>
        <w:top w:val="none" w:sz="0" w:space="0" w:color="auto"/>
        <w:left w:val="none" w:sz="0" w:space="0" w:color="auto"/>
        <w:bottom w:val="none" w:sz="0" w:space="0" w:color="auto"/>
        <w:right w:val="none" w:sz="0" w:space="0" w:color="auto"/>
      </w:divBdr>
    </w:div>
    <w:div w:id="213524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rmation_x00e9_ducationfinanci_x00e8_res xmlns="aff8bd00-0e05-4680-a5f4-99addaf0af17" xsi:nil="true"/>
    <TaxCatchAll xmlns="484c8c59-755d-4516-b8d2-1621b38262b4" xsi:nil="true"/>
    <lcf76f155ced4ddcb4097134ff3c332f xmlns="aff8bd00-0e05-4680-a5f4-99addaf0af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95962B9C2C35B459CC465F2834DB40E" ma:contentTypeVersion="19" ma:contentTypeDescription="Ein neues Dokument erstellen." ma:contentTypeScope="" ma:versionID="af0fdf85a3234b87fed73501b5a79396">
  <xsd:schema xmlns:xsd="http://www.w3.org/2001/XMLSchema" xmlns:xs="http://www.w3.org/2001/XMLSchema" xmlns:p="http://schemas.microsoft.com/office/2006/metadata/properties" xmlns:ns2="aff8bd00-0e05-4680-a5f4-99addaf0af17" xmlns:ns3="255c7396-758c-4b5b-9d4b-2a089c200783" xmlns:ns4="484c8c59-755d-4516-b8d2-1621b38262b4" targetNamespace="http://schemas.microsoft.com/office/2006/metadata/properties" ma:root="true" ma:fieldsID="3d5299de7d97275bb8c6d88feb245859" ns2:_="" ns3:_="" ns4:_="">
    <xsd:import namespace="aff8bd00-0e05-4680-a5f4-99addaf0af17"/>
    <xsd:import namespace="255c7396-758c-4b5b-9d4b-2a089c200783"/>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Formation_x00e9_ducationfinanci_x00e8_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8bd00-0e05-4680-a5f4-99addaf0a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rmation_x00e9_ducationfinanci_x00e8_res" ma:index="26" nillable="true" ma:displayName="Formation éducation financières" ma:format="Thumbnail" ma:internalName="Formation_x00e9_ducationfinanci_x00e8_r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5c7396-758c-4b5b-9d4b-2a089c200783"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0239e99-a534-4a10-b8b4-7d10894ca9c7}" ma:internalName="TaxCatchAll" ma:showField="CatchAllData" ma:web="255c7396-758c-4b5b-9d4b-2a089c2007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45466-CBEF-49D7-9DA8-E01AD1359DBF}">
  <ds:schemaRefs>
    <ds:schemaRef ds:uri="http://schemas.openxmlformats.org/officeDocument/2006/bibliography"/>
  </ds:schemaRefs>
</ds:datastoreItem>
</file>

<file path=customXml/itemProps2.xml><?xml version="1.0" encoding="utf-8"?>
<ds:datastoreItem xmlns:ds="http://schemas.openxmlformats.org/officeDocument/2006/customXml" ds:itemID="{140E613D-F2FD-4CD3-BF3C-CB29558280EF}">
  <ds:schemaRefs>
    <ds:schemaRef ds:uri="http://purl.org/dc/elements/1.1/"/>
    <ds:schemaRef ds:uri="http://www.w3.org/XML/1998/namespace"/>
    <ds:schemaRef ds:uri="http://purl.org/dc/dcmitype/"/>
    <ds:schemaRef ds:uri="255c7396-758c-4b5b-9d4b-2a089c20078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484c8c59-755d-4516-b8d2-1621b38262b4"/>
    <ds:schemaRef ds:uri="aff8bd00-0e05-4680-a5f4-99addaf0af17"/>
    <ds:schemaRef ds:uri="http://schemas.microsoft.com/office/2006/metadata/properties"/>
  </ds:schemaRefs>
</ds:datastoreItem>
</file>

<file path=customXml/itemProps3.xml><?xml version="1.0" encoding="utf-8"?>
<ds:datastoreItem xmlns:ds="http://schemas.openxmlformats.org/officeDocument/2006/customXml" ds:itemID="{71027FD5-052D-4D2B-88F3-4BFA2A922E75}">
  <ds:schemaRefs>
    <ds:schemaRef ds:uri="http://schemas.microsoft.com/sharepoint/v3/contenttype/forms"/>
  </ds:schemaRefs>
</ds:datastoreItem>
</file>

<file path=customXml/itemProps4.xml><?xml version="1.0" encoding="utf-8"?>
<ds:datastoreItem xmlns:ds="http://schemas.openxmlformats.org/officeDocument/2006/customXml" ds:itemID="{56C458CE-97C9-4256-A2F0-BC05C1F0E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8bd00-0e05-4680-a5f4-99addaf0af17"/>
    <ds:schemaRef ds:uri="255c7396-758c-4b5b-9d4b-2a089c200783"/>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5021</Characters>
  <Application>Microsoft Office Word</Application>
  <DocSecurity>0</DocSecurity>
  <Lines>41</Lines>
  <Paragraphs>11</Paragraphs>
  <ScaleCrop>false</ScaleCrop>
  <Company>GOPA Group</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Kamel ellefi</dc:creator>
  <cp:keywords>, docId:C78B328CBD6CCE634B039039709BB269</cp:keywords>
  <dc:description/>
  <cp:lastModifiedBy>Vinci, Igor GIZ TN</cp:lastModifiedBy>
  <cp:revision>133</cp:revision>
  <dcterms:created xsi:type="dcterms:W3CDTF">2024-11-29T20:15:00Z</dcterms:created>
  <dcterms:modified xsi:type="dcterms:W3CDTF">2025-02-07T15:30:00Z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0x010100495962B9C2C35B459CC465F2834DB40E</vt:lpwstr>
  </property>
  <property fmtid="{D5CDD505-2E9C-101B-9397-08002B2CF9AE}" pid="3" name="MediaServiceImageTags">
    <vt:lpwstr/>
  </property>
</Properties>
</file>